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after="0" w:line="560" w:lineRule="exact"/>
        <w:ind w:firstLine="0" w:firstLineChars="0"/>
        <w:jc w:val="center"/>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新能源汽车动力域研发基地</w:t>
      </w:r>
      <w:r>
        <w:rPr>
          <w:rFonts w:hint="eastAsia" w:asciiTheme="majorEastAsia" w:hAnsiTheme="majorEastAsia" w:eastAsiaTheme="majorEastAsia" w:cstheme="majorEastAsia"/>
          <w:b/>
          <w:bCs w:val="0"/>
          <w:sz w:val="44"/>
          <w:szCs w:val="44"/>
        </w:rPr>
        <w:t>项目遴选方案</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楷体_GB2312" w:hAnsi="宋体" w:eastAsia="楷体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《深圳市工业及其他产业用地供应管理办法》</w:t>
      </w:r>
      <w:r>
        <w:rPr>
          <w:rFonts w:hint="eastAsia" w:ascii="仿宋_GB2312" w:hAnsi="仿宋_GB2312" w:eastAsia="仿宋_GB2312" w:cs="仿宋_GB2312"/>
          <w:sz w:val="32"/>
          <w:szCs w:val="32"/>
          <w:lang w:eastAsia="zh-CN"/>
        </w:rPr>
        <w:t>（深府规〔20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结合市区产业发展导向及要求，</w:t>
      </w:r>
      <w:r>
        <w:rPr>
          <w:rFonts w:hint="eastAsia" w:ascii="仿宋_GB2312" w:hAnsi="仿宋_GB2312" w:eastAsia="仿宋_GB2312" w:cs="仿宋_GB2312"/>
          <w:sz w:val="32"/>
          <w:szCs w:val="32"/>
        </w:rPr>
        <w:t>现就</w:t>
      </w:r>
      <w:r>
        <w:rPr>
          <w:rFonts w:hint="eastAsia" w:ascii="仿宋_GB2312" w:hAnsi="仿宋_GB2312" w:eastAsia="仿宋_GB2312" w:cs="仿宋_GB2312"/>
          <w:sz w:val="32"/>
          <w:szCs w:val="32"/>
          <w:lang w:eastAsia="zh-CN"/>
        </w:rPr>
        <w:t>新能源汽车动力域研发基地</w:t>
      </w:r>
      <w:r>
        <w:rPr>
          <w:rFonts w:hint="eastAsia" w:ascii="仿宋_GB2312" w:hAnsi="仿宋_GB2312" w:eastAsia="仿宋_GB2312" w:cs="仿宋_GB2312"/>
          <w:sz w:val="32"/>
          <w:szCs w:val="32"/>
        </w:rPr>
        <w:t>项目制定如下遴选方案：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新能源汽车动力域研发基地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二、意向用地单位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深圳威迈斯新能源（集团）股份有限公司（以下简称“威迈斯”）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三、项目可行性研究</w:t>
      </w:r>
    </w:p>
    <w:p>
      <w:pPr>
        <w:overflowPunct w:val="0"/>
        <w:adjustRightInd/>
        <w:snapToGrid/>
        <w:spacing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Cs/>
          <w:sz w:val="32"/>
          <w:szCs w:val="32"/>
        </w:rPr>
        <w:t>（一）必要性：</w:t>
      </w:r>
      <w:r>
        <w:rPr>
          <w:rFonts w:hint="eastAsia" w:ascii="仿宋_GB2312" w:hAnsi="仿宋_GB2312" w:eastAsia="仿宋_GB2312" w:cs="仿宋_GB2312"/>
          <w:b w:val="0"/>
          <w:bCs/>
          <w:sz w:val="32"/>
          <w:szCs w:val="32"/>
          <w:lang w:val="en-US" w:eastAsia="zh-CN"/>
        </w:rPr>
        <w:t>新能源汽车产业是国家及深圳市重点布局领域，《新能源汽车产业发展规划（2021-2035年）》中设立发展愿景：“到2025年，新能源汽车新车销售量达到汽车新车销售总量的20%左右。提高技术创新能力，强化整车集成技术创新，构建关键零部件技术供给体系”。2025年9月，工业和信息化部等八部门印发《汽车行业稳增长工作方案（2025—2026年）》，文件指出，在2025年，力争实现全年汽车销量3230万辆左右，同比增长约3%，其中新能源汽车销量1550万辆左右，同比增长约20%；2026年，行业运行保持稳中向好发展态势，产业规模和质量效益进一步提升。同时，要加快新能源汽车全面市场化拓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本项目意向用地单位近年来业务快速增长，2024年，企业营业收入规模突破60亿元，较2023年实现15.39%的增长，2023年同比增速高达44.09%，连续两年保持双位数高增长。企业目前在深圳的用地及研发场地情况如下：</w:t>
      </w:r>
      <w:r>
        <w:rPr>
          <w:rFonts w:hint="eastAsia" w:ascii="仿宋_GB2312" w:hAnsi="仿宋_GB2312" w:eastAsia="仿宋_GB2312" w:cs="仿宋_GB2312"/>
          <w:b/>
          <w:bCs/>
          <w:color w:val="auto"/>
          <w:sz w:val="32"/>
          <w:szCs w:val="32"/>
          <w:lang w:val="en-US" w:eastAsia="zh-CN"/>
        </w:rPr>
        <w:t>一是自有用地方面，</w:t>
      </w:r>
      <w:r>
        <w:rPr>
          <w:rFonts w:hint="eastAsia" w:ascii="仿宋_GB2312" w:hAnsi="仿宋_GB2312" w:eastAsia="仿宋_GB2312" w:cs="仿宋_GB2312"/>
          <w:color w:val="auto"/>
          <w:sz w:val="32"/>
          <w:szCs w:val="32"/>
          <w:lang w:val="en-US" w:eastAsia="zh-CN"/>
        </w:rPr>
        <w:t>在深圳市龙岗区有一宗工业用地（宗地号G02302-0017），用地面积5295.08平方米，土地用途为普通工业用地，2015年12月以挂牌方式取得，项目已于2021年6月规划验收，计规定容积率建筑面积21469.76平方米，当前用于研发测试、生产线及办公；</w:t>
      </w:r>
      <w:r>
        <w:rPr>
          <w:rFonts w:hint="eastAsia" w:ascii="仿宋_GB2312" w:hAnsi="仿宋_GB2312" w:eastAsia="仿宋_GB2312" w:cs="仿宋_GB2312"/>
          <w:b/>
          <w:bCs/>
          <w:color w:val="auto"/>
          <w:sz w:val="32"/>
          <w:szCs w:val="32"/>
          <w:lang w:val="en-US" w:eastAsia="zh-CN"/>
        </w:rPr>
        <w:t>二是租赁场地方面，</w:t>
      </w:r>
      <w:r>
        <w:rPr>
          <w:rFonts w:hint="eastAsia" w:ascii="仿宋_GB2312" w:hAnsi="仿宋_GB2312" w:eastAsia="仿宋_GB2312" w:cs="仿宋_GB2312"/>
          <w:color w:val="auto"/>
          <w:sz w:val="32"/>
          <w:szCs w:val="32"/>
          <w:lang w:val="en-US" w:eastAsia="zh-CN"/>
        </w:rPr>
        <w:t>在深圳南山区租赁7868平方米场地，用于研发实验室、办公及试制线，在深圳龙岗区额外租赁12765平方米场地，用于研发测试及仓储，南山、龙岗两地租赁场地合计20633平方米。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企业计划扎根南山建设总部及研发场地，期望获得土地支持，主要有以下申请用地理由及必要性：</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研发场地分散严重制约研发效率。企业研发场地分散于南山、龙岗、大连、上海等地，跨区域分布导致研发环节物料流转效率低、研发测试进度滞后，且研发工艺流程优化推进困难，严重影响核心产品研发周期，难以匹配市场快速响应需求；</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现有场地无法承载企业产能提升需求。龙岗宝龙工厂作为主要生产基地，自2020年投产以来，始终维持高负荷运行状态，2024年6月产能利用率达118%，2025年部分月份仍持续超过100%饱和极限。面对国内新能源汽车销量从2023年949.5万辆攀升至2025年1-10月1294.3万辆的行业高速增长，以及客户产品高度定制化、生产需紧密配合整车销售波动性的特点，现有场地已无法大规模增投设备以扩充产能，严重制约了企业响应市场爆发性需求的能力；</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现有场地无法承载企业规模扩张需求。随着公司业务规模的持续扩张和研发体系的不断深化，员工数量特别是研发人员队伍将快速增加，现有员工总数已超4000人，其中研发人员671人，随着研发人员的增加，企业对办公空间需求日益迫切；</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现有场地无法满足高端研发需求。自有地块主要用于生产制造，已无法满足企业当前增长带来的集中研发、测试及总部办公需求，现有租用研发场地空间不足、布局不合理及基础设施配套不完善，既无法满足日常经营及研发活动开展，也难以匹配国内外知名整车厂客户对开发测试环境的严苛要求（需特定地面条件、稳定用电规格及安全环境），制约国际高端业务拓展；</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租赁场地存在高风险隐患。租赁场地面临周期不确定、租金涨幅不稳定、权属转移导致被动搬迁等问题，若发生搬迁，将产生高额设备搬迁成本、设备使用寿命折损、研发项目进度滞后等损失，前期大量重资产设备投入也将面临极高风险，亟需通过自有用地实现研发场地稳定，从根本上解决研发场地紧缺问题。</w:t>
      </w:r>
    </w:p>
    <w:p>
      <w:pPr>
        <w:overflowPunct w:val="0"/>
        <w:adjustRightInd/>
        <w:snapToGrid/>
        <w:spacing w:line="560" w:lineRule="exact"/>
        <w:ind w:firstLine="640" w:firstLineChars="200"/>
        <w:rPr>
          <w:rFonts w:hint="eastAsia" w:ascii="仿宋_GB2312" w:hAnsi="仿宋_GB2312" w:eastAsia="仿宋_GB2312" w:cs="仿宋_GB2312"/>
          <w:bCs/>
          <w:sz w:val="32"/>
          <w:szCs w:val="32"/>
        </w:rPr>
      </w:pPr>
      <w:r>
        <w:rPr>
          <w:rFonts w:hint="eastAsia" w:ascii="楷体_GB2312" w:hAnsi="楷体_GB2312" w:eastAsia="楷体_GB2312" w:cs="楷体_GB2312"/>
          <w:bCs/>
          <w:sz w:val="32"/>
          <w:szCs w:val="32"/>
        </w:rPr>
        <w:t>（二）可行性：</w:t>
      </w:r>
      <w:r>
        <w:rPr>
          <w:rFonts w:hint="eastAsia" w:ascii="仿宋_GB2312" w:hAnsi="仿宋_GB2312" w:eastAsia="仿宋_GB2312" w:cs="仿宋_GB2312"/>
          <w:bCs/>
          <w:sz w:val="32"/>
          <w:szCs w:val="32"/>
        </w:rPr>
        <w:t>本项目意向用地单位成立于2005年，2010年至今为国家高新技术企业，主要从事新能源汽车车载充电机、电机控制器、无线电充电系统等汽车核心零部件的研发、生产、销售和服务。2024年，企业车载电源产品产量达254.74万台，同比增长10.12%，电驱系统作为战略</w:t>
      </w:r>
      <w:r>
        <w:rPr>
          <w:rFonts w:hint="eastAsia" w:ascii="仿宋_GB2312" w:hAnsi="仿宋_GB2312" w:eastAsia="仿宋_GB2312" w:cs="仿宋_GB2312"/>
          <w:bCs/>
          <w:sz w:val="32"/>
          <w:szCs w:val="32"/>
          <w:lang w:eastAsia="zh-CN"/>
        </w:rPr>
        <w:t>性</w:t>
      </w:r>
      <w:r>
        <w:rPr>
          <w:rFonts w:hint="eastAsia" w:ascii="仿宋_GB2312" w:hAnsi="仿宋_GB2312" w:eastAsia="仿宋_GB2312" w:cs="仿宋_GB2312"/>
          <w:bCs/>
          <w:sz w:val="32"/>
          <w:szCs w:val="32"/>
        </w:rPr>
        <w:t>新兴业务实现跨越式发展，产量达23.54万台，同比增长262.71%。在深耕国内市场的同时，积极推进全球化战略布局，国内与小鹏汽车、理想汽车等造车新势力，以及上汽集团、吉利汽车等传统车企</w:t>
      </w:r>
      <w:r>
        <w:rPr>
          <w:rFonts w:hint="eastAsia" w:ascii="仿宋_GB2312" w:hAnsi="仿宋_GB2312" w:eastAsia="仿宋_GB2312" w:cs="仿宋_GB2312"/>
          <w:bCs/>
          <w:sz w:val="32"/>
          <w:szCs w:val="32"/>
          <w:lang w:eastAsia="zh-CN"/>
        </w:rPr>
        <w:t>达成</w:t>
      </w:r>
      <w:r>
        <w:rPr>
          <w:rFonts w:hint="eastAsia" w:ascii="仿宋_GB2312" w:hAnsi="仿宋_GB2312" w:eastAsia="仿宋_GB2312" w:cs="仿宋_GB2312"/>
          <w:bCs/>
          <w:sz w:val="32"/>
          <w:szCs w:val="32"/>
        </w:rPr>
        <w:t>长期战略合作；海外已向Stellantis集团量产发货车载电源集成产品，</w:t>
      </w:r>
      <w:r>
        <w:rPr>
          <w:rFonts w:hint="eastAsia" w:ascii="仿宋_GB2312" w:hAnsi="仿宋_GB2312" w:eastAsia="仿宋_GB2312" w:cs="仿宋_GB2312"/>
          <w:bCs/>
          <w:sz w:val="32"/>
          <w:szCs w:val="32"/>
          <w:lang w:eastAsia="zh-CN"/>
        </w:rPr>
        <w:t>与</w:t>
      </w:r>
      <w:r>
        <w:rPr>
          <w:rFonts w:hint="eastAsia" w:ascii="仿宋_GB2312" w:hAnsi="仿宋_GB2312" w:eastAsia="仿宋_GB2312" w:cs="仿宋_GB2312"/>
          <w:bCs/>
          <w:sz w:val="32"/>
          <w:szCs w:val="32"/>
        </w:rPr>
        <w:t>雷诺、阿斯顿马丁、法拉利等车企定点合作并量产发货，是较早向境外出口的境内厂商，同时不断拓展国际业务。市场份额上，据NE Times数据，2020</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2024年在中国乘用车车载充电机市场，份额分别为17.30%、20.90%、20.40%、18.8%、19%，排名均为前2名。</w:t>
      </w:r>
    </w:p>
    <w:p>
      <w:pPr>
        <w:tabs>
          <w:tab w:val="left" w:pos="720"/>
        </w:tabs>
        <w:overflowPunct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企业荣誉众多，先后获评深圳市专精特新中小企业等称号，是国家级制造业单项冠军、广东省制造业单项冠军、深圳（湾区）知名品牌，已形成华南、华东区域研发及生产配套的产业布局，逐步构建布局合理、发展有序、运行高效的高新科技产业综合体。并且作为行业领跑者，参与起草多项国家标准，建有国家级CNAS实验室等科研平台，承担省市科研项目，获2018年深圳市科技进步奖二等奖。在国内外布局知识产权，截至2025年6月30日，获授权专利507项、计算机软件著作权280项。</w:t>
      </w:r>
    </w:p>
    <w:p>
      <w:pPr>
        <w:tabs>
          <w:tab w:val="left" w:pos="720"/>
        </w:tabs>
        <w:overflowPunct w:val="0"/>
        <w:adjustRightInd/>
        <w:snapToGrid/>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本项目实施后，可聚集电力电子、芯片、算法、整车工程等领域的研发专业人才，打造成为集技术研发、产品验证、应用示范于一体的综合性创新基地，并集聚上下游产业链，带动产业链科研和创新能力的全面提升，实现良好的经济效益和社会效益。符合深圳高新区的产业发展定位和导向。</w:t>
      </w:r>
    </w:p>
    <w:p>
      <w:pPr>
        <w:overflowPunct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（三）建设内容：</w:t>
      </w:r>
      <w:r>
        <w:rPr>
          <w:rFonts w:hint="eastAsia" w:ascii="仿宋_GB2312" w:hAnsi="仿宋_GB2312" w:eastAsia="仿宋_GB2312" w:cs="仿宋_GB2312"/>
          <w:sz w:val="32"/>
          <w:szCs w:val="32"/>
        </w:rPr>
        <w:t>项目规划建设新能源汽车动力域研发基地，打造车载充电机、车载DCDC系列产品、车载电源集成产品及无线充电模块等研发项目中心，建立硬件开发、软件开发、单件开发及整车开发测试、功能安全测试、高低温环境测试、软件测试、整车应用测试等多个研发部门。</w:t>
      </w:r>
    </w:p>
    <w:p>
      <w:pPr>
        <w:overflowPunct w:val="0"/>
        <w:adjustRightInd/>
        <w:snapToGrid/>
        <w:spacing w:line="560" w:lineRule="exact"/>
        <w:ind w:firstLine="640" w:firstLineChars="200"/>
        <w:rPr>
          <w:rFonts w:hint="eastAsia" w:ascii="仿宋_GB2312" w:hAnsi="仿宋_GB2312" w:eastAsia="仿宋_GB2312" w:cs="仿宋_GB2312"/>
          <w:color w:val="FF0000"/>
          <w:sz w:val="32"/>
          <w:szCs w:val="32"/>
        </w:rPr>
      </w:pPr>
      <w:r>
        <w:rPr>
          <w:rFonts w:hint="eastAsia" w:ascii="楷体_GB2312" w:hAnsi="楷体_GB2312" w:eastAsia="楷体_GB2312" w:cs="楷体_GB2312"/>
          <w:bCs/>
          <w:sz w:val="32"/>
          <w:szCs w:val="32"/>
        </w:rPr>
        <w:t>（四）初步建设规模：</w:t>
      </w:r>
      <w:r>
        <w:rPr>
          <w:rFonts w:hint="eastAsia" w:ascii="仿宋_GB2312" w:hAnsi="仿宋_GB2312" w:eastAsia="仿宋_GB2312" w:cs="仿宋_GB2312"/>
          <w:sz w:val="32"/>
          <w:szCs w:val="32"/>
        </w:rPr>
        <w:t>总建筑面积约</w:t>
      </w:r>
      <w:r>
        <w:rPr>
          <w:rFonts w:hint="eastAsia" w:ascii="仿宋_GB2312" w:hAnsi="仿宋_GB2312" w:eastAsia="仿宋_GB2312" w:cs="仿宋_GB2312"/>
          <w:sz w:val="32"/>
          <w:szCs w:val="32"/>
          <w:u w:val="single"/>
          <w:lang w:val="en-US" w:eastAsia="zh-CN"/>
        </w:rPr>
        <w:t xml:space="preserve"> 5.5578 </w:t>
      </w:r>
      <w:r>
        <w:rPr>
          <w:rFonts w:hint="eastAsia" w:ascii="仿宋_GB2312" w:hAnsi="仿宋_GB2312" w:eastAsia="仿宋_GB2312" w:cs="仿宋_GB2312"/>
          <w:sz w:val="32"/>
          <w:szCs w:val="32"/>
        </w:rPr>
        <w:t>万平方米（以土地出让合同为准）。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四、</w:t>
      </w:r>
      <w:r>
        <w:rPr>
          <w:rFonts w:hint="eastAsia" w:ascii="黑体" w:hAnsi="黑体" w:eastAsia="黑体" w:cs="黑体"/>
          <w:sz w:val="32"/>
          <w:szCs w:val="32"/>
          <w:lang w:eastAsia="zh-CN"/>
        </w:rPr>
        <w:t>准入条件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Cs/>
          <w:sz w:val="32"/>
          <w:szCs w:val="32"/>
        </w:rPr>
        <w:t>（一）产业类型：</w:t>
      </w:r>
      <w:r>
        <w:rPr>
          <w:rFonts w:hint="eastAsia" w:ascii="仿宋_GB2312" w:hAnsi="仿宋_GB2312" w:eastAsia="仿宋_GB2312" w:cs="仿宋_GB2312"/>
          <w:b w:val="0"/>
          <w:bCs/>
          <w:sz w:val="32"/>
          <w:szCs w:val="32"/>
          <w:shd w:val="clear" w:color="auto" w:fill="auto"/>
        </w:rPr>
        <w:t>《深圳市产业结构调整优化和产业导向目录（2016年修订）》中</w:t>
      </w:r>
      <w:r>
        <w:rPr>
          <w:rFonts w:hint="eastAsia" w:ascii="仿宋_GB2312" w:hAnsi="仿宋_GB2312" w:eastAsia="仿宋_GB2312" w:cs="仿宋_GB2312"/>
          <w:sz w:val="32"/>
          <w:szCs w:val="32"/>
          <w:lang w:val="en-US" w:eastAsia="zh-CN"/>
        </w:rPr>
        <w:t>A0203车载充电机、非车载充电设备；A0202新能源汽车关键零部件</w:t>
      </w:r>
      <w:r>
        <w:rPr>
          <w:rFonts w:hint="eastAsia" w:ascii="仿宋_GB2312" w:hAnsi="仿宋_GB2312" w:eastAsia="仿宋_GB2312" w:cs="仿宋_GB2312"/>
          <w:sz w:val="32"/>
          <w:szCs w:val="32"/>
          <w:lang w:eastAsia="zh-CN"/>
        </w:rPr>
        <w:t>。</w:t>
      </w:r>
    </w:p>
    <w:p>
      <w:pPr>
        <w:overflowPunct w:val="0"/>
        <w:adjustRightInd/>
        <w:snapToGrid/>
        <w:spacing w:line="56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（二）生产技术</w:t>
      </w:r>
    </w:p>
    <w:p>
      <w:pPr>
        <w:pStyle w:val="2"/>
        <w:overflowPunct w:val="0"/>
        <w:adjustRightInd/>
        <w:snapToGrid/>
        <w:spacing w:after="0" w:line="560" w:lineRule="exact"/>
        <w:ind w:firstLine="640" w:firstLineChars="200"/>
        <w:rPr>
          <w:rFonts w:hint="eastAsia" w:ascii="仿宋_GB2312" w:hAnsi="仿宋_GB2312" w:eastAsia="仿宋_GB2312" w:cs="仿宋_GB2312"/>
          <w:bCs/>
          <w:sz w:val="32"/>
          <w:szCs w:val="32"/>
          <w:shd w:val="clear" w:color="auto" w:fill="auto"/>
          <w:lang w:val="en-US" w:eastAsia="zh-CN"/>
        </w:rPr>
      </w:pPr>
      <w:r>
        <w:rPr>
          <w:rFonts w:hint="eastAsia" w:ascii="仿宋_GB2312" w:hAnsi="仿宋_GB2312" w:eastAsia="仿宋_GB2312" w:cs="仿宋_GB2312"/>
          <w:bCs/>
          <w:sz w:val="32"/>
          <w:szCs w:val="32"/>
          <w:shd w:val="clear" w:color="auto" w:fill="auto"/>
          <w:lang w:val="en-US" w:eastAsia="zh-CN"/>
        </w:rPr>
        <w:t>拥有行业领先的核心技术能力，主要覆盖硬件开发、软件开发、系统设计、测试验证、产品结构和生产工艺等全面的技术平台，具体包括高端电力电子变换技术、电源结构工艺技术，具备高质量产品设计能力和高水平技术研究能力；建有业界一流的研发团队，完善的企业流程体系，先进的软硬件系统，在无线充电、电驱多合一等前沿领域已形成技术储备，可支撑核心产品持续创新升级。</w:t>
      </w:r>
    </w:p>
    <w:p>
      <w:pPr>
        <w:numPr>
          <w:ilvl w:val="0"/>
          <w:numId w:val="0"/>
        </w:numPr>
        <w:overflowPunct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Cs/>
          <w:sz w:val="32"/>
          <w:szCs w:val="32"/>
          <w:lang w:val="en-US" w:eastAsia="zh-CN"/>
        </w:rPr>
        <w:t>（三）产业标准及产品品质</w:t>
      </w:r>
    </w:p>
    <w:p>
      <w:pPr>
        <w:pStyle w:val="2"/>
        <w:overflowPunct w:val="0"/>
        <w:adjustRightInd/>
        <w:snapToGrid/>
        <w:spacing w:after="0" w:line="560" w:lineRule="exact"/>
        <w:ind w:firstLine="640" w:firstLineChars="200"/>
        <w:rPr>
          <w:rFonts w:hint="eastAsia" w:ascii="仿宋_GB2312" w:hAnsi="仿宋_GB2312" w:eastAsia="仿宋_GB2312" w:cs="仿宋_GB2312"/>
          <w:bCs/>
          <w:sz w:val="32"/>
          <w:szCs w:val="32"/>
          <w:shd w:val="clear" w:color="auto" w:fill="auto"/>
          <w:lang w:val="en-US" w:eastAsia="zh-CN"/>
        </w:rPr>
      </w:pPr>
      <w:r>
        <w:rPr>
          <w:rFonts w:hint="eastAsia" w:ascii="仿宋_GB2312" w:hAnsi="仿宋_GB2312" w:eastAsia="仿宋_GB2312" w:cs="仿宋_GB2312"/>
          <w:bCs/>
          <w:sz w:val="32"/>
          <w:szCs w:val="32"/>
          <w:shd w:val="clear" w:color="auto" w:fill="auto"/>
          <w:lang w:val="en-US" w:eastAsia="zh-CN"/>
        </w:rPr>
        <w:t>企业研发生产的车载充电机、DC/DC变换器、无线充电模块等核心产品，严格遵循《电动汽车用传导式车载充电机》（GB/T 40432–2021）、《电动汽车DC/DC变换器》（GB/T 24347–2021）等国家标准，并全面对接国际电工委员会（IEC）相关通用技术规范，具备同时满足国内与国际市场准入要求的合规基础，为产品出海及全球化合作提供了有力支撑。</w:t>
      </w:r>
    </w:p>
    <w:p>
      <w:pPr>
        <w:pStyle w:val="2"/>
        <w:overflowPunct w:val="0"/>
        <w:adjustRightInd/>
        <w:snapToGrid/>
        <w:spacing w:after="0" w:line="560" w:lineRule="exact"/>
        <w:ind w:firstLine="640" w:firstLineChars="200"/>
        <w:rPr>
          <w:rFonts w:hint="eastAsia" w:ascii="仿宋_GB2312" w:hAnsi="仿宋_GB2312" w:eastAsia="仿宋_GB2312" w:cs="仿宋_GB2312"/>
          <w:bCs/>
          <w:sz w:val="32"/>
          <w:szCs w:val="32"/>
          <w:shd w:val="clear" w:color="auto" w:fill="auto"/>
          <w:lang w:val="en-US" w:eastAsia="zh-CN"/>
        </w:rPr>
      </w:pPr>
      <w:r>
        <w:rPr>
          <w:rFonts w:hint="eastAsia" w:ascii="仿宋_GB2312" w:hAnsi="仿宋_GB2312" w:eastAsia="仿宋_GB2312" w:cs="仿宋_GB2312"/>
          <w:bCs/>
          <w:sz w:val="32"/>
          <w:szCs w:val="32"/>
          <w:shd w:val="clear" w:color="auto" w:fill="auto"/>
          <w:lang w:val="en-US" w:eastAsia="zh-CN"/>
        </w:rPr>
        <w:t>在产品品质方面，建立覆盖功能安全、环境可靠性、电磁兼容、环保合规与客户定制化要求的全维度车规级品质管控体系：核心零部件通过ISO 26262功能安全认证，确保整车运行全周期安全；完成盐雾、防水防尘、高低温冲击、冰水浸没等多项严苛环境可靠性测试，保障产品在复杂应用场景下的高可靠性；全面满足电磁兼容（EMC）标准，通过ESD、瞬态抗扰度、大电流注入等测试，避免对整车电子系统造成干扰；严格执行ELV指令等环保要求，限制有害物质使用，贯彻绿色制造理念；并能够根据国内外知名整车厂的个性化需求，提供定制化产品方案，实现精准技术适配。</w:t>
      </w:r>
    </w:p>
    <w:p>
      <w:pPr>
        <w:overflowPunct w:val="0"/>
        <w:adjustRightInd/>
        <w:snapToGrid/>
        <w:spacing w:line="56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（四）主体资格：</w:t>
      </w:r>
    </w:p>
    <w:p>
      <w:pPr>
        <w:overflowPunct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竞买申请人应为中华人民共和国境内法人企业。</w:t>
      </w:r>
    </w:p>
    <w:p>
      <w:pPr>
        <w:overflowPunct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2.独立竞买企业符合《深圳市工业及其他产业用地供应管理办法》（深府规〔20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号）规定的遴选要求企业。</w:t>
      </w:r>
    </w:p>
    <w:p>
      <w:pPr>
        <w:overflowPunct w:val="0"/>
        <w:adjustRightInd/>
        <w:snapToGrid/>
        <w:spacing w:line="56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（五）项目投入产出效率</w:t>
      </w:r>
    </w:p>
    <w:p>
      <w:pPr>
        <w:widowControl w:val="0"/>
        <w:overflowPunct w:val="0"/>
        <w:snapToGrid/>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1.投产时间：</w:t>
      </w:r>
      <w:r>
        <w:rPr>
          <w:rFonts w:hint="eastAsia" w:ascii="仿宋_GB2312" w:hAnsi="仿宋_GB2312" w:eastAsia="仿宋_GB2312" w:cs="仿宋_GB2312"/>
          <w:color w:val="auto"/>
          <w:kern w:val="2"/>
          <w:sz w:val="32"/>
          <w:szCs w:val="32"/>
          <w:highlight w:val="none"/>
          <w:lang w:val="en-US" w:eastAsia="zh-CN" w:bidi="ar-SA"/>
        </w:rPr>
        <w:t>项目须自竞得用地后</w:t>
      </w:r>
      <w:r>
        <w:rPr>
          <w:rFonts w:hint="eastAsia" w:ascii="仿宋_GB2312" w:hAnsi="仿宋_GB2312" w:eastAsia="仿宋_GB2312" w:cs="仿宋_GB2312"/>
          <w:color w:val="auto"/>
          <w:kern w:val="2"/>
          <w:sz w:val="32"/>
          <w:szCs w:val="32"/>
          <w:highlight w:val="none"/>
          <w:u w:val="single"/>
          <w:lang w:val="en-US" w:eastAsia="zh-CN" w:bidi="ar-SA"/>
        </w:rPr>
        <w:t xml:space="preserve"> 1.5 </w:t>
      </w:r>
      <w:r>
        <w:rPr>
          <w:rFonts w:hint="eastAsia" w:ascii="仿宋_GB2312" w:hAnsi="仿宋_GB2312" w:eastAsia="仿宋_GB2312" w:cs="仿宋_GB2312"/>
          <w:color w:val="auto"/>
          <w:kern w:val="2"/>
          <w:sz w:val="32"/>
          <w:szCs w:val="32"/>
          <w:highlight w:val="none"/>
          <w:lang w:val="en-US" w:eastAsia="zh-CN" w:bidi="ar-SA"/>
        </w:rPr>
        <w:t>年内开工建设，</w:t>
      </w:r>
      <w:r>
        <w:rPr>
          <w:rFonts w:hint="eastAsia" w:ascii="仿宋_GB2312" w:hAnsi="仿宋_GB2312" w:eastAsia="仿宋_GB2312" w:cs="仿宋_GB2312"/>
          <w:color w:val="auto"/>
          <w:kern w:val="2"/>
          <w:sz w:val="32"/>
          <w:szCs w:val="32"/>
          <w:highlight w:val="none"/>
          <w:u w:val="singl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年内全部建成投产（项目开竣工时间以建设用地使用权出让合同约定为准）。</w:t>
      </w:r>
    </w:p>
    <w:p>
      <w:pPr>
        <w:overflowPunct w:val="0"/>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投资强度：</w:t>
      </w:r>
      <w:r>
        <w:rPr>
          <w:rFonts w:hint="eastAsia" w:ascii="仿宋_GB2312" w:hAnsi="仿宋_GB2312" w:eastAsia="仿宋_GB2312" w:cs="仿宋_GB2312"/>
          <w:color w:val="auto"/>
          <w:sz w:val="32"/>
          <w:szCs w:val="32"/>
          <w:highlight w:val="none"/>
          <w:lang w:eastAsia="zh-CN"/>
        </w:rPr>
        <w:t>项目固定资产总投资额不低于</w:t>
      </w:r>
      <w:r>
        <w:rPr>
          <w:rFonts w:hint="eastAsia" w:ascii="仿宋_GB2312" w:hAnsi="仿宋_GB2312" w:eastAsia="仿宋_GB2312" w:cs="仿宋_GB2312"/>
          <w:color w:val="auto"/>
          <w:sz w:val="32"/>
          <w:szCs w:val="32"/>
          <w:highlight w:val="none"/>
          <w:u w:val="single"/>
          <w:lang w:val="en-US" w:eastAsia="zh-CN"/>
        </w:rPr>
        <w:t xml:space="preserve"> 8 </w:t>
      </w:r>
      <w:r>
        <w:rPr>
          <w:rFonts w:hint="eastAsia" w:ascii="仿宋_GB2312" w:hAnsi="仿宋_GB2312" w:eastAsia="仿宋_GB2312" w:cs="仿宋_GB2312"/>
          <w:color w:val="auto"/>
          <w:sz w:val="32"/>
          <w:szCs w:val="32"/>
          <w:highlight w:val="none"/>
          <w:lang w:val="en-US" w:eastAsia="zh-CN"/>
        </w:rPr>
        <w:t>亿元，上述项目</w:t>
      </w:r>
      <w:r>
        <w:rPr>
          <w:rFonts w:hint="eastAsia" w:ascii="仿宋_GB2312" w:hAnsi="仿宋_GB2312" w:eastAsia="仿宋_GB2312" w:cs="仿宋_GB2312"/>
          <w:color w:val="auto"/>
          <w:sz w:val="32"/>
          <w:szCs w:val="32"/>
          <w:highlight w:val="none"/>
          <w:lang w:eastAsia="zh-CN"/>
        </w:rPr>
        <w:t>固定资产投资强度（</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固定资产投资额</w:t>
      </w:r>
      <w:r>
        <w:rPr>
          <w:rFonts w:hint="eastAsia" w:ascii="仿宋_GB2312" w:hAnsi="仿宋_GB2312" w:eastAsia="仿宋_GB2312" w:cs="仿宋_GB2312"/>
          <w:color w:val="auto"/>
          <w:sz w:val="32"/>
          <w:szCs w:val="32"/>
          <w:highlight w:val="none"/>
          <w:lang w:val="en-US" w:eastAsia="zh-CN"/>
        </w:rPr>
        <w:t>÷项目建设用地面积</w:t>
      </w:r>
      <w:r>
        <w:rPr>
          <w:rFonts w:hint="eastAsia" w:ascii="仿宋_GB2312" w:hAnsi="仿宋_GB2312" w:eastAsia="仿宋_GB2312" w:cs="仿宋_GB2312"/>
          <w:color w:val="auto"/>
          <w:sz w:val="32"/>
          <w:szCs w:val="32"/>
          <w:highlight w:val="none"/>
          <w:lang w:eastAsia="zh-CN"/>
        </w:rPr>
        <w:t>）不低于</w:t>
      </w:r>
      <w:r>
        <w:rPr>
          <w:rFonts w:hint="eastAsia" w:ascii="仿宋_GB2312" w:hAnsi="仿宋_GB2312" w:eastAsia="仿宋_GB2312" w:cs="仿宋_GB2312"/>
          <w:color w:val="auto"/>
          <w:sz w:val="32"/>
          <w:szCs w:val="32"/>
          <w:highlight w:val="none"/>
          <w:u w:val="single"/>
          <w:lang w:val="en-US" w:eastAsia="zh-CN"/>
        </w:rPr>
        <w:t xml:space="preserve"> 8.6 </w:t>
      </w:r>
      <w:r>
        <w:rPr>
          <w:rFonts w:hint="eastAsia" w:ascii="仿宋_GB2312" w:hAnsi="仿宋_GB2312" w:eastAsia="仿宋_GB2312" w:cs="仿宋_GB2312"/>
          <w:color w:val="auto"/>
          <w:sz w:val="32"/>
          <w:szCs w:val="32"/>
          <w:highlight w:val="none"/>
          <w:u w:val="none"/>
          <w:lang w:val="en-US" w:eastAsia="zh-CN"/>
        </w:rPr>
        <w:t>万元/平方米。</w:t>
      </w:r>
    </w:p>
    <w:p>
      <w:pPr>
        <w:overflowPunct w:val="0"/>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土地产出效率：</w:t>
      </w:r>
      <w:r>
        <w:rPr>
          <w:rFonts w:hint="eastAsia" w:ascii="仿宋_GB2312" w:hAnsi="仿宋_GB2312" w:eastAsia="仿宋_GB2312" w:cs="仿宋_GB2312"/>
          <w:color w:val="auto"/>
          <w:sz w:val="32"/>
          <w:szCs w:val="32"/>
          <w:highlight w:val="none"/>
        </w:rPr>
        <w:t>项目投产后第1年土地产出效率不低于</w:t>
      </w:r>
      <w:r>
        <w:rPr>
          <w:rFonts w:hint="eastAsia" w:ascii="仿宋_GB2312" w:hAnsi="仿宋_GB2312" w:eastAsia="仿宋_GB2312" w:cs="仿宋_GB2312"/>
          <w:color w:val="auto"/>
          <w:sz w:val="32"/>
          <w:szCs w:val="32"/>
          <w:highlight w:val="none"/>
          <w:u w:val="single"/>
          <w:lang w:val="en-US" w:eastAsia="zh-CN"/>
        </w:rPr>
        <w:t xml:space="preserve"> 75 </w:t>
      </w:r>
      <w:r>
        <w:rPr>
          <w:rFonts w:hint="eastAsia" w:ascii="仿宋_GB2312" w:hAnsi="仿宋_GB2312" w:eastAsia="仿宋_GB2312" w:cs="仿宋_GB2312"/>
          <w:color w:val="auto"/>
          <w:sz w:val="32"/>
          <w:szCs w:val="32"/>
          <w:highlight w:val="none"/>
          <w:u w:val="none"/>
          <w:lang w:val="en-US" w:eastAsia="zh-CN"/>
        </w:rPr>
        <w:t>万</w:t>
      </w:r>
      <w:r>
        <w:rPr>
          <w:rFonts w:hint="eastAsia" w:ascii="仿宋_GB2312" w:hAnsi="仿宋_GB2312" w:eastAsia="仿宋_GB2312" w:cs="仿宋_GB2312"/>
          <w:color w:val="auto"/>
          <w:sz w:val="32"/>
          <w:szCs w:val="32"/>
          <w:highlight w:val="none"/>
        </w:rPr>
        <w:t>元/平方米（项目年产值（年营收）/项目建设用地面积）；投产后每隔5年、出让期届满前1年，年平均土地产出效率不低于</w:t>
      </w:r>
      <w:r>
        <w:rPr>
          <w:rFonts w:hint="eastAsia" w:ascii="仿宋_GB2312" w:hAnsi="仿宋_GB2312" w:eastAsia="仿宋_GB2312" w:cs="仿宋_GB2312"/>
          <w:color w:val="auto"/>
          <w:sz w:val="32"/>
          <w:szCs w:val="32"/>
          <w:highlight w:val="none"/>
          <w:u w:val="single"/>
          <w:lang w:val="en-US" w:eastAsia="zh-CN"/>
        </w:rPr>
        <w:t xml:space="preserve"> 75 </w:t>
      </w:r>
      <w:r>
        <w:rPr>
          <w:rFonts w:hint="eastAsia" w:ascii="仿宋_GB2312" w:hAnsi="仿宋_GB2312" w:eastAsia="仿宋_GB2312" w:cs="仿宋_GB2312"/>
          <w:color w:val="auto"/>
          <w:sz w:val="32"/>
          <w:szCs w:val="32"/>
          <w:highlight w:val="none"/>
          <w:u w:val="none"/>
          <w:lang w:val="en-US" w:eastAsia="zh-CN"/>
        </w:rPr>
        <w:t>万</w:t>
      </w:r>
      <w:r>
        <w:rPr>
          <w:rFonts w:hint="eastAsia" w:ascii="仿宋_GB2312" w:hAnsi="仿宋_GB2312" w:eastAsia="仿宋_GB2312" w:cs="仿宋_GB2312"/>
          <w:color w:val="auto"/>
          <w:sz w:val="32"/>
          <w:szCs w:val="32"/>
          <w:highlight w:val="none"/>
        </w:rPr>
        <w:t>元/平方米。</w:t>
      </w:r>
    </w:p>
    <w:p>
      <w:pPr>
        <w:widowControl w:val="0"/>
        <w:overflowPunct w:val="0"/>
        <w:snapToGrid/>
        <w:spacing w:line="560" w:lineRule="exact"/>
        <w:ind w:firstLine="640" w:firstLineChars="200"/>
        <w:jc w:val="both"/>
        <w:rPr>
          <w:rFonts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spacing w:val="-6"/>
          <w:kern w:val="2"/>
          <w:sz w:val="32"/>
          <w:szCs w:val="32"/>
          <w:highlight w:val="none"/>
          <w:lang w:val="en-US" w:eastAsia="zh-CN" w:bidi="ar-SA"/>
        </w:rPr>
        <w:t>产值能耗：项目投产后每年产值能耗不高于</w:t>
      </w:r>
      <w:r>
        <w:rPr>
          <w:rFonts w:hint="eastAsia" w:ascii="仿宋_GB2312" w:hAnsi="仿宋_GB2312" w:eastAsia="仿宋_GB2312" w:cs="仿宋_GB2312"/>
          <w:color w:val="auto"/>
          <w:spacing w:val="-6"/>
          <w:kern w:val="2"/>
          <w:sz w:val="32"/>
          <w:szCs w:val="32"/>
          <w:highlight w:val="none"/>
          <w:u w:val="single"/>
          <w:lang w:val="en-US" w:eastAsia="zh-CN" w:bidi="ar-SA"/>
        </w:rPr>
        <w:t xml:space="preserve"> 0.025 </w:t>
      </w:r>
      <w:r>
        <w:rPr>
          <w:rFonts w:hint="eastAsia" w:ascii="仿宋_GB2312" w:hAnsi="仿宋_GB2312" w:eastAsia="仿宋_GB2312" w:cs="仿宋_GB2312"/>
          <w:color w:val="auto"/>
          <w:kern w:val="2"/>
          <w:sz w:val="32"/>
          <w:szCs w:val="32"/>
          <w:highlight w:val="none"/>
          <w:lang w:val="en-US" w:eastAsia="zh-CN" w:bidi="ar-SA"/>
        </w:rPr>
        <w:t>吨标准煤/万元（年综合能源消费量/项目年产值（年营收））。</w:t>
      </w:r>
    </w:p>
    <w:p>
      <w:pPr>
        <w:overflowPunct w:val="0"/>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5.产值规模：用地单位</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年累计</w:t>
      </w:r>
      <w:r>
        <w:rPr>
          <w:rFonts w:hint="eastAsia" w:ascii="仿宋_GB2312" w:hAnsi="仿宋_GB2312" w:eastAsia="仿宋_GB2312" w:cs="仿宋_GB2312"/>
          <w:color w:val="auto"/>
          <w:sz w:val="32"/>
          <w:szCs w:val="32"/>
          <w:highlight w:val="none"/>
        </w:rPr>
        <w:t>纳入深圳市南山区的</w:t>
      </w:r>
      <w:r>
        <w:rPr>
          <w:rFonts w:hint="default" w:ascii="仿宋_GB2312" w:hAnsi="仿宋_GB2312" w:eastAsia="仿宋_GB2312" w:cs="仿宋_GB2312"/>
          <w:color w:val="auto"/>
          <w:sz w:val="32"/>
          <w:szCs w:val="32"/>
          <w:highlight w:val="none"/>
          <w:lang w:val="en-US"/>
        </w:rPr>
        <w:t>产值规模（营业收入）</w:t>
      </w:r>
      <w:r>
        <w:rPr>
          <w:rFonts w:hint="eastAsia" w:ascii="仿宋_GB2312" w:hAnsi="仿宋_GB2312" w:eastAsia="仿宋_GB2312" w:cs="仿宋_GB2312"/>
          <w:color w:val="auto"/>
          <w:sz w:val="32"/>
          <w:szCs w:val="32"/>
          <w:highlight w:val="none"/>
          <w:lang w:val="en-US" w:eastAsia="zh-CN"/>
        </w:rPr>
        <w:t>不少于</w:t>
      </w:r>
      <w:r>
        <w:rPr>
          <w:rFonts w:hint="eastAsia" w:ascii="仿宋_GB2312" w:hAnsi="仿宋_GB2312" w:eastAsia="仿宋_GB2312" w:cs="仿宋_GB2312"/>
          <w:color w:val="auto"/>
          <w:sz w:val="32"/>
          <w:szCs w:val="32"/>
          <w:highlight w:val="none"/>
          <w:u w:val="single"/>
          <w:lang w:val="en-US" w:eastAsia="zh-CN"/>
        </w:rPr>
        <w:t xml:space="preserve"> 23</w:t>
      </w:r>
      <w:r>
        <w:rPr>
          <w:rFonts w:hint="default"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w:t>
      </w:r>
    </w:p>
    <w:p>
      <w:pPr>
        <w:overflowPunct w:val="0"/>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用地单位</w:t>
      </w:r>
      <w:r>
        <w:rPr>
          <w:rFonts w:hint="eastAsia" w:ascii="仿宋_GB2312" w:hAnsi="仿宋_GB2312" w:eastAsia="仿宋_GB2312" w:cs="仿宋_GB2312"/>
          <w:color w:val="auto"/>
          <w:sz w:val="32"/>
          <w:szCs w:val="32"/>
          <w:highlight w:val="none"/>
          <w:lang w:eastAsia="zh-CN"/>
        </w:rPr>
        <w:t>自项目建成投产后当年起，至出让年限届满前一年止，以</w:t>
      </w:r>
      <w:r>
        <w:rPr>
          <w:rFonts w:hint="eastAsia" w:ascii="仿宋_GB2312" w:hAnsi="仿宋_GB2312" w:eastAsia="仿宋_GB2312" w:cs="仿宋_GB2312"/>
          <w:color w:val="auto"/>
          <w:sz w:val="32"/>
          <w:szCs w:val="32"/>
          <w:highlight w:val="none"/>
          <w:lang w:val="en-US" w:eastAsia="zh-CN"/>
        </w:rPr>
        <w:t>5年为周期，5年周期内累计纳入深圳市南山区的产值规模（营业收入）不少于</w:t>
      </w:r>
      <w:r>
        <w:rPr>
          <w:rFonts w:hint="eastAsia" w:ascii="仿宋_GB2312" w:hAnsi="仿宋_GB2312" w:eastAsia="仿宋_GB2312" w:cs="仿宋_GB2312"/>
          <w:color w:val="auto"/>
          <w:sz w:val="32"/>
          <w:szCs w:val="32"/>
          <w:highlight w:val="none"/>
          <w:u w:val="single"/>
          <w:lang w:val="en-US" w:eastAsia="zh-CN"/>
        </w:rPr>
        <w:t xml:space="preserve"> 367.2 </w:t>
      </w:r>
      <w:r>
        <w:rPr>
          <w:rFonts w:hint="eastAsia" w:ascii="仿宋_GB2312" w:hAnsi="仿宋_GB2312" w:eastAsia="仿宋_GB2312" w:cs="仿宋_GB2312"/>
          <w:color w:val="auto"/>
          <w:sz w:val="32"/>
          <w:szCs w:val="32"/>
          <w:highlight w:val="none"/>
          <w:lang w:val="en-US" w:eastAsia="zh-CN"/>
        </w:rPr>
        <w:t>亿元；最后剩余年限不足5年的，按照每年产值规模（营业收入）</w:t>
      </w:r>
      <w:r>
        <w:rPr>
          <w:rFonts w:hint="eastAsia" w:ascii="仿宋_GB2312" w:hAnsi="仿宋_GB2312" w:eastAsia="仿宋_GB2312" w:cs="仿宋_GB2312"/>
          <w:color w:val="auto"/>
          <w:sz w:val="32"/>
          <w:szCs w:val="32"/>
          <w:highlight w:val="none"/>
          <w:u w:val="single"/>
          <w:lang w:val="en-US" w:eastAsia="zh-CN"/>
        </w:rPr>
        <w:t xml:space="preserve"> 73.44 </w:t>
      </w:r>
      <w:r>
        <w:rPr>
          <w:rFonts w:hint="eastAsia" w:ascii="仿宋_GB2312" w:hAnsi="仿宋_GB2312" w:eastAsia="仿宋_GB2312" w:cs="仿宋_GB2312"/>
          <w:color w:val="auto"/>
          <w:sz w:val="32"/>
          <w:szCs w:val="32"/>
          <w:highlight w:val="none"/>
          <w:lang w:val="en-US" w:eastAsia="zh-CN"/>
        </w:rPr>
        <w:t>亿元*剩余年限数计算。</w:t>
      </w:r>
    </w:p>
    <w:p>
      <w:pPr>
        <w:overflowPunct w:val="0"/>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6.用地单位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年累计</w:t>
      </w:r>
      <w:r>
        <w:rPr>
          <w:rFonts w:hint="eastAsia" w:ascii="仿宋_GB2312" w:hAnsi="仿宋_GB2312" w:eastAsia="仿宋_GB2312" w:cs="仿宋_GB2312"/>
          <w:color w:val="auto"/>
          <w:sz w:val="32"/>
          <w:szCs w:val="32"/>
          <w:highlight w:val="none"/>
        </w:rPr>
        <w:t>纳入深圳市南山区的</w:t>
      </w:r>
      <w:r>
        <w:rPr>
          <w:rFonts w:hint="eastAsia" w:ascii="仿宋_GB2312" w:hAnsi="仿宋_GB2312" w:eastAsia="仿宋_GB2312" w:cs="仿宋_GB2312"/>
          <w:color w:val="auto"/>
          <w:sz w:val="32"/>
          <w:szCs w:val="32"/>
          <w:highlight w:val="none"/>
          <w:lang w:val="en-US" w:eastAsia="zh-CN"/>
        </w:rPr>
        <w:t>增加值不少于</w:t>
      </w:r>
      <w:r>
        <w:rPr>
          <w:rFonts w:hint="eastAsia" w:ascii="仿宋_GB2312" w:hAnsi="仿宋_GB2312" w:eastAsia="仿宋_GB2312" w:cs="仿宋_GB2312"/>
          <w:color w:val="auto"/>
          <w:sz w:val="32"/>
          <w:szCs w:val="32"/>
          <w:highlight w:val="none"/>
          <w:u w:val="single"/>
          <w:lang w:val="en-US" w:eastAsia="zh-CN"/>
        </w:rPr>
        <w:t xml:space="preserve"> 48.41 </w:t>
      </w:r>
      <w:r>
        <w:rPr>
          <w:rFonts w:hint="eastAsia" w:ascii="仿宋_GB2312" w:hAnsi="仿宋_GB2312" w:eastAsia="仿宋_GB2312" w:cs="仿宋_GB2312"/>
          <w:color w:val="auto"/>
          <w:sz w:val="32"/>
          <w:szCs w:val="32"/>
          <w:highlight w:val="none"/>
          <w:lang w:val="en-US" w:eastAsia="zh-CN"/>
        </w:rPr>
        <w:t>亿元，</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年平均增速不低于南山区规上工业增加值4年平均增速。</w:t>
      </w:r>
    </w:p>
    <w:p>
      <w:pPr>
        <w:overflowPunct w:val="0"/>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用地单位</w:t>
      </w:r>
      <w:r>
        <w:rPr>
          <w:rFonts w:hint="eastAsia" w:ascii="仿宋_GB2312" w:hAnsi="仿宋_GB2312" w:eastAsia="仿宋_GB2312" w:cs="仿宋_GB2312"/>
          <w:color w:val="auto"/>
          <w:sz w:val="32"/>
          <w:szCs w:val="32"/>
          <w:highlight w:val="none"/>
          <w:lang w:eastAsia="zh-CN"/>
        </w:rPr>
        <w:t>自项目建成投产后当年起，至出让年限届满前一年止，以</w:t>
      </w:r>
      <w:r>
        <w:rPr>
          <w:rFonts w:hint="eastAsia" w:ascii="仿宋_GB2312" w:hAnsi="仿宋_GB2312" w:eastAsia="仿宋_GB2312" w:cs="仿宋_GB2312"/>
          <w:color w:val="auto"/>
          <w:sz w:val="32"/>
          <w:szCs w:val="32"/>
          <w:highlight w:val="none"/>
          <w:lang w:val="en-US" w:eastAsia="zh-CN"/>
        </w:rPr>
        <w:t>5年为周期，5年周期内累计纳入深圳市南山区的增加值不少于</w:t>
      </w:r>
      <w:r>
        <w:rPr>
          <w:rFonts w:hint="eastAsia" w:ascii="仿宋_GB2312" w:hAnsi="仿宋_GB2312" w:eastAsia="仿宋_GB2312" w:cs="仿宋_GB2312"/>
          <w:color w:val="auto"/>
          <w:sz w:val="32"/>
          <w:szCs w:val="32"/>
          <w:highlight w:val="none"/>
          <w:u w:val="single"/>
          <w:lang w:val="en-US" w:eastAsia="zh-CN"/>
        </w:rPr>
        <w:t xml:space="preserve"> 74.18 </w:t>
      </w:r>
      <w:r>
        <w:rPr>
          <w:rFonts w:hint="eastAsia" w:ascii="仿宋_GB2312" w:hAnsi="仿宋_GB2312" w:eastAsia="仿宋_GB2312" w:cs="仿宋_GB2312"/>
          <w:color w:val="auto"/>
          <w:sz w:val="32"/>
          <w:szCs w:val="32"/>
          <w:highlight w:val="none"/>
          <w:lang w:val="en-US" w:eastAsia="zh-CN"/>
        </w:rPr>
        <w:t>亿元；最后剩余年限不足5年的，按照每年增加值</w:t>
      </w:r>
      <w:r>
        <w:rPr>
          <w:rFonts w:hint="eastAsia" w:ascii="仿宋_GB2312" w:hAnsi="仿宋_GB2312" w:eastAsia="仿宋_GB2312" w:cs="仿宋_GB2312"/>
          <w:color w:val="auto"/>
          <w:sz w:val="32"/>
          <w:szCs w:val="32"/>
          <w:highlight w:val="none"/>
          <w:u w:val="single"/>
          <w:lang w:val="en-US" w:eastAsia="zh-CN"/>
        </w:rPr>
        <w:t xml:space="preserve"> 14.84 </w:t>
      </w:r>
      <w:r>
        <w:rPr>
          <w:rFonts w:hint="eastAsia" w:ascii="仿宋_GB2312" w:hAnsi="仿宋_GB2312" w:eastAsia="仿宋_GB2312" w:cs="仿宋_GB2312"/>
          <w:color w:val="auto"/>
          <w:sz w:val="32"/>
          <w:szCs w:val="32"/>
          <w:highlight w:val="none"/>
          <w:lang w:val="en-US" w:eastAsia="zh-CN"/>
        </w:rPr>
        <w:t xml:space="preserve">亿元*剩余年限数计算。  </w:t>
      </w:r>
    </w:p>
    <w:p>
      <w:pPr>
        <w:numPr>
          <w:ilvl w:val="0"/>
          <w:numId w:val="0"/>
        </w:numPr>
        <w:overflowPunct w:val="0"/>
        <w:snapToGrid/>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7.用地单位</w:t>
      </w:r>
      <w:r>
        <w:rPr>
          <w:rFonts w:hint="eastAsia" w:ascii="仿宋_GB2312" w:hAnsi="仿宋_GB2312" w:eastAsia="仿宋_GB2312" w:cs="仿宋_GB2312"/>
          <w:color w:val="auto"/>
          <w:sz w:val="32"/>
          <w:szCs w:val="32"/>
          <w:highlight w:val="none"/>
        </w:rPr>
        <w:t>自项目建成投产的当年起，至出让年期届满前一年止，</w:t>
      </w:r>
      <w:r>
        <w:rPr>
          <w:rFonts w:hint="eastAsia" w:ascii="仿宋_GB2312" w:hAnsi="仿宋_GB2312" w:eastAsia="仿宋_GB2312" w:cs="仿宋_GB2312"/>
          <w:color w:val="auto"/>
          <w:sz w:val="32"/>
          <w:szCs w:val="32"/>
          <w:highlight w:val="none"/>
          <w:lang w:val="en-US" w:eastAsia="zh-CN"/>
        </w:rPr>
        <w:t>以5年为周期，每个周期纳入深圳市南山区的年均产值规模（营业收入）占</w:t>
      </w:r>
      <w:r>
        <w:rPr>
          <w:rFonts w:hint="eastAsia" w:ascii="仿宋_GB2312" w:hAnsi="仿宋_GB2312" w:eastAsia="仿宋_GB2312" w:cs="仿宋_GB2312"/>
          <w:color w:val="auto"/>
          <w:sz w:val="32"/>
          <w:szCs w:val="32"/>
          <w:highlight w:val="none"/>
        </w:rPr>
        <w:t>用地</w:t>
      </w:r>
      <w:r>
        <w:rPr>
          <w:rFonts w:hint="eastAsia" w:ascii="仿宋_GB2312" w:hAnsi="仿宋_GB2312" w:eastAsia="仿宋_GB2312" w:cs="仿宋_GB2312"/>
          <w:color w:val="auto"/>
          <w:sz w:val="32"/>
          <w:szCs w:val="32"/>
          <w:highlight w:val="none"/>
          <w:lang w:val="en-US" w:eastAsia="zh-CN"/>
        </w:rPr>
        <w:t>单位及其子公司、分公司合计年均产值规模（营业收入）的比例不低于70%。</w:t>
      </w:r>
    </w:p>
    <w:p>
      <w:pPr>
        <w:numPr>
          <w:ilvl w:val="0"/>
          <w:numId w:val="0"/>
        </w:numPr>
        <w:overflowPunct w:val="0"/>
        <w:snapToGrid/>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8.研发投入：用地单位2025-2028年累计纳入深圳市南山区的研发投入不低于</w:t>
      </w:r>
      <w:r>
        <w:rPr>
          <w:rFonts w:hint="eastAsia" w:ascii="仿宋_GB2312" w:hAnsi="仿宋_GB2312" w:eastAsia="仿宋_GB2312" w:cs="仿宋_GB2312"/>
          <w:color w:val="auto"/>
          <w:sz w:val="32"/>
          <w:szCs w:val="32"/>
          <w:highlight w:val="none"/>
          <w:u w:val="single"/>
          <w:lang w:val="en-US" w:eastAsia="zh-CN"/>
        </w:rPr>
        <w:t xml:space="preserve"> 7 </w:t>
      </w:r>
      <w:r>
        <w:rPr>
          <w:rFonts w:hint="eastAsia" w:ascii="仿宋_GB2312" w:hAnsi="仿宋_GB2312" w:eastAsia="仿宋_GB2312" w:cs="仿宋_GB2312"/>
          <w:color w:val="auto"/>
          <w:sz w:val="32"/>
          <w:szCs w:val="32"/>
          <w:highlight w:val="none"/>
          <w:lang w:val="en-US" w:eastAsia="zh-CN"/>
        </w:rPr>
        <w:t>亿元。</w:t>
      </w:r>
    </w:p>
    <w:p>
      <w:pPr>
        <w:overflowPunct w:val="0"/>
        <w:snapToGrid/>
        <w:spacing w:line="560" w:lineRule="exact"/>
        <w:ind w:firstLine="640" w:firstLineChars="200"/>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9</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lang w:val="en-US" w:eastAsia="zh-CN"/>
        </w:rPr>
        <w:t>用地单位承诺在土地全出让年期内积极协助引进产业链上下游优质企业。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五、项目用地情况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（一）用地</w:t>
      </w:r>
      <w:r>
        <w:rPr>
          <w:rFonts w:hint="eastAsia" w:ascii="楷体_GB2312" w:hAnsi="楷体_GB2312" w:eastAsia="楷体_GB2312" w:cs="楷体_GB2312"/>
          <w:b w:val="0"/>
          <w:bCs/>
          <w:sz w:val="32"/>
          <w:szCs w:val="32"/>
          <w:lang w:eastAsia="zh-CN"/>
        </w:rPr>
        <w:t>区位和</w:t>
      </w:r>
      <w:r>
        <w:rPr>
          <w:rFonts w:hint="eastAsia" w:ascii="楷体_GB2312" w:hAnsi="楷体_GB2312" w:eastAsia="楷体_GB2312" w:cs="楷体_GB2312"/>
          <w:b w:val="0"/>
          <w:bCs/>
          <w:sz w:val="32"/>
          <w:szCs w:val="32"/>
        </w:rPr>
        <w:t>规模：</w:t>
      </w:r>
      <w:r>
        <w:rPr>
          <w:rFonts w:hint="eastAsia" w:ascii="仿宋_GB2312" w:hAnsi="仿宋_GB2312" w:eastAsia="仿宋_GB2312" w:cs="仿宋_GB2312"/>
          <w:b w:val="0"/>
          <w:bCs/>
          <w:sz w:val="32"/>
          <w:szCs w:val="32"/>
          <w:lang w:val="en-US" w:eastAsia="zh-CN"/>
        </w:rPr>
        <w:t>位于</w:t>
      </w:r>
      <w:r>
        <w:rPr>
          <w:rFonts w:hint="eastAsia" w:ascii="仿宋_GB2312" w:hAnsi="仿宋_GB2312" w:eastAsia="仿宋_GB2312" w:cs="仿宋_GB2312"/>
          <w:b w:val="0"/>
          <w:bCs/>
          <w:sz w:val="32"/>
          <w:szCs w:val="32"/>
        </w:rPr>
        <w:t>深南大道与科技中二路交汇处</w:t>
      </w:r>
      <w:r>
        <w:rPr>
          <w:rFonts w:hint="eastAsia" w:ascii="仿宋_GB2312" w:hAnsi="仿宋_GB2312" w:eastAsia="仿宋_GB2312" w:cs="仿宋_GB2312"/>
          <w:sz w:val="32"/>
          <w:szCs w:val="32"/>
          <w:lang w:val="en-US" w:eastAsia="zh-CN"/>
        </w:rPr>
        <w:t>，占地面积约</w:t>
      </w:r>
      <w:r>
        <w:rPr>
          <w:rFonts w:hint="eastAsia" w:ascii="仿宋_GB2312" w:hAnsi="仿宋_GB2312" w:eastAsia="仿宋_GB2312" w:cs="仿宋_GB2312"/>
          <w:sz w:val="32"/>
          <w:szCs w:val="32"/>
          <w:u w:val="single"/>
          <w:lang w:val="en-US" w:eastAsia="zh-CN"/>
        </w:rPr>
        <w:t xml:space="preserve"> 9263 </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sz w:val="32"/>
          <w:szCs w:val="32"/>
        </w:rPr>
        <w:t>（二）用地功能：</w:t>
      </w:r>
      <w:r>
        <w:rPr>
          <w:rFonts w:hint="eastAsia" w:ascii="仿宋_GB2312" w:hAnsi="仿宋_GB2312" w:eastAsia="仿宋_GB2312" w:cs="仿宋_GB2312"/>
          <w:sz w:val="32"/>
          <w:szCs w:val="32"/>
        </w:rPr>
        <w:t>新型产业用地（M0）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sz w:val="32"/>
          <w:szCs w:val="32"/>
        </w:rPr>
        <w:t>（三）建筑规模：</w:t>
      </w:r>
      <w:r>
        <w:rPr>
          <w:rFonts w:hint="eastAsia" w:ascii="仿宋_GB2312" w:hAnsi="仿宋_GB2312" w:eastAsia="仿宋_GB2312" w:cs="仿宋_GB2312"/>
          <w:sz w:val="32"/>
          <w:szCs w:val="32"/>
        </w:rPr>
        <w:t>建筑面积约</w:t>
      </w:r>
      <w:r>
        <w:rPr>
          <w:rFonts w:hint="eastAsia" w:ascii="仿宋_GB2312" w:hAnsi="仿宋_GB2312" w:eastAsia="仿宋_GB2312" w:cs="仿宋_GB2312"/>
          <w:sz w:val="32"/>
          <w:szCs w:val="32"/>
          <w:u w:val="single"/>
          <w:lang w:val="en-US" w:eastAsia="zh-CN"/>
        </w:rPr>
        <w:t xml:space="preserve"> 5.5578 </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sz w:val="32"/>
          <w:szCs w:val="32"/>
        </w:rPr>
        <w:t>（四）土地供应方式：</w:t>
      </w:r>
      <w:r>
        <w:rPr>
          <w:rFonts w:hint="eastAsia" w:ascii="仿宋_GB2312" w:hAnsi="仿宋_GB2312" w:eastAsia="仿宋_GB2312" w:cs="仿宋_GB2312"/>
          <w:b w:val="0"/>
          <w:bCs/>
          <w:sz w:val="32"/>
          <w:szCs w:val="32"/>
          <w:lang w:eastAsia="zh-CN"/>
        </w:rPr>
        <w:t>“带产业项目”</w:t>
      </w:r>
      <w:r>
        <w:rPr>
          <w:rFonts w:hint="eastAsia" w:ascii="仿宋_GB2312" w:hAnsi="仿宋_GB2312" w:eastAsia="仿宋_GB2312" w:cs="仿宋_GB2312"/>
          <w:sz w:val="32"/>
          <w:szCs w:val="32"/>
        </w:rPr>
        <w:t>挂牌出让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sz w:val="32"/>
          <w:szCs w:val="32"/>
        </w:rPr>
        <w:t>（五）期限：</w:t>
      </w:r>
      <w:r>
        <w:rPr>
          <w:rFonts w:hint="eastAsia" w:ascii="仿宋_GB2312" w:hAnsi="仿宋_GB2312" w:eastAsia="仿宋_GB2312" w:cs="仿宋_GB2312"/>
          <w:sz w:val="32"/>
          <w:szCs w:val="32"/>
        </w:rPr>
        <w:t>30年</w:t>
      </w:r>
      <w:r>
        <w:rPr>
          <w:rFonts w:hint="eastAsia" w:ascii="仿宋_GB2312" w:hAnsi="仿宋_GB2312" w:eastAsia="仿宋_GB2312" w:cs="仿宋_GB2312"/>
          <w:sz w:val="32"/>
          <w:szCs w:val="32"/>
          <w:lang w:eastAsia="zh-CN"/>
        </w:rPr>
        <w:t>；</w:t>
      </w:r>
    </w:p>
    <w:p>
      <w:pPr>
        <w:pStyle w:val="28"/>
        <w:overflowPunct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sz w:val="32"/>
          <w:szCs w:val="32"/>
        </w:rPr>
        <w:t>（六）权利限制：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转让、分证或出租限制：</w:t>
      </w:r>
      <w:r>
        <w:rPr>
          <w:rFonts w:hint="eastAsia" w:ascii="仿宋_GB2312" w:hAnsi="仿宋_GB2312" w:eastAsia="仿宋_GB2312" w:cs="仿宋_GB2312"/>
          <w:color w:val="auto"/>
          <w:sz w:val="32"/>
          <w:szCs w:val="32"/>
          <w:highlight w:val="none"/>
        </w:rPr>
        <w:t>以出让方式供应的重点产业项目用地，建设用地使用权及建筑物100%的建筑面积在全年期内不得转让；独立竞得用地的，初始登记后不得办理分证，允许一定比例用房租赁给产业链相关企业，出租比例不超过建筑面积的20%，</w:t>
      </w:r>
      <w:r>
        <w:rPr>
          <w:rFonts w:hint="eastAsia" w:ascii="仿宋_GB2312" w:hAnsi="仿宋_GB2312" w:eastAsia="仿宋_GB2312" w:cs="仿宋_GB2312"/>
          <w:color w:val="auto"/>
          <w:sz w:val="32"/>
          <w:szCs w:val="32"/>
          <w:highlight w:val="none"/>
          <w:u w:val="none"/>
        </w:rPr>
        <w:t>最高租金不</w:t>
      </w:r>
      <w:r>
        <w:rPr>
          <w:rFonts w:hint="eastAsia" w:ascii="仿宋_GB2312" w:hAnsi="仿宋_GB2312" w:eastAsia="仿宋_GB2312" w:cs="仿宋_GB2312"/>
          <w:color w:val="auto"/>
          <w:sz w:val="32"/>
          <w:szCs w:val="32"/>
          <w:highlight w:val="none"/>
          <w:u w:val="none"/>
          <w:lang w:val="en-US" w:eastAsia="zh-CN"/>
        </w:rPr>
        <w:t>超过出租时市场评估价的100%</w:t>
      </w:r>
      <w:r>
        <w:rPr>
          <w:rFonts w:hint="eastAsia" w:ascii="仿宋_GB2312" w:hAnsi="仿宋_GB2312" w:eastAsia="仿宋_GB2312" w:cs="仿宋_GB2312"/>
          <w:color w:val="auto"/>
          <w:sz w:val="32"/>
          <w:szCs w:val="32"/>
          <w:highlight w:val="none"/>
        </w:rPr>
        <w:t>；租赁双方应使用市房屋租赁主管部门制定的产业用房租赁合同示范文本签订租赁合同，并将签订的租赁合同提交</w:t>
      </w:r>
      <w:r>
        <w:rPr>
          <w:rFonts w:hint="eastAsia" w:ascii="仿宋_GB2312" w:hAnsi="仿宋_GB2312" w:eastAsia="仿宋_GB2312" w:cs="仿宋_GB2312"/>
          <w:color w:val="auto"/>
          <w:sz w:val="32"/>
          <w:szCs w:val="32"/>
          <w:highlight w:val="none"/>
          <w:lang w:eastAsia="zh-CN"/>
        </w:rPr>
        <w:t>监管单位</w:t>
      </w:r>
      <w:r>
        <w:rPr>
          <w:rFonts w:hint="eastAsia" w:ascii="仿宋_GB2312" w:hAnsi="仿宋_GB2312" w:eastAsia="仿宋_GB2312" w:cs="仿宋_GB2312"/>
          <w:color w:val="auto"/>
          <w:sz w:val="32"/>
          <w:szCs w:val="32"/>
          <w:highlight w:val="none"/>
          <w:lang w:bidi="ar"/>
        </w:rPr>
        <w:t>及</w:t>
      </w:r>
      <w:r>
        <w:rPr>
          <w:rFonts w:hint="eastAsia" w:ascii="仿宋_GB2312" w:hAnsi="仿宋_GB2312" w:eastAsia="仿宋_GB2312" w:cs="仿宋_GB2312"/>
          <w:color w:val="auto"/>
          <w:sz w:val="32"/>
          <w:szCs w:val="32"/>
          <w:highlight w:val="none"/>
        </w:rPr>
        <w:t>房屋租赁主管部门备案。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抵押限制：建设用地使用权及建筑物允许抵押，但应以宗地内的所有建筑物进行抵押，且抵押金额不得超出合同剩余年期地价与建筑物残值之和。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股权变更限制：在全年期内不得以股权转让或变更等方式变相转让建设用地使用权以及附着于该土地上的建筑物、构筑物及其附属设施。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如因经营需要，在不导致控股权和实际控制权发生变更的前提下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经书面报告</w:t>
      </w:r>
      <w:r>
        <w:rPr>
          <w:rFonts w:hint="eastAsia" w:ascii="仿宋_GB2312" w:hAnsi="仿宋_GB2312" w:eastAsia="仿宋_GB2312" w:cs="仿宋_GB2312"/>
          <w:sz w:val="32"/>
          <w:szCs w:val="32"/>
          <w:lang w:val="en-US" w:eastAsia="zh-CN"/>
        </w:rPr>
        <w:t>监管单位</w:t>
      </w:r>
      <w:r>
        <w:rPr>
          <w:rFonts w:hint="eastAsia" w:ascii="仿宋_GB2312" w:hAnsi="仿宋_GB2312" w:eastAsia="仿宋_GB2312" w:cs="仿宋_GB2312"/>
          <w:sz w:val="32"/>
          <w:szCs w:val="32"/>
        </w:rPr>
        <w:t>后可进行股权调整，并同步将股权调整信息书面告知土地主管部门。上述股权调整具体类型包括但不限于股权转让、增资、减资等任何变更情形。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强制执行：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筑物、构筑物由政府回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ascii="仿宋_GB2312" w:hAnsi="宋体" w:eastAsia="仿宋_GB2312"/>
          <w:sz w:val="28"/>
          <w:szCs w:val="28"/>
        </w:rPr>
      </w:pPr>
      <w:r>
        <w:rPr>
          <w:rFonts w:hint="eastAsia" w:ascii="仿宋_GB2312" w:hAnsi="仿宋_GB2312" w:eastAsia="仿宋_GB2312" w:cs="仿宋_GB2312"/>
          <w:sz w:val="28"/>
          <w:szCs w:val="28"/>
        </w:rPr>
        <w:t>备注：用地规模、建筑规模、土地用途等最终以规划国土部门出具的规划设计要点为准。产业类型选自深圳市发展和改革委员会印发的《深圳市产业结构调整优化和产业导向目录（2016年修订）》。</w:t>
      </w:r>
    </w:p>
    <w:sectPr>
      <w:footerReference r:id="rId3" w:type="default"/>
      <w:pgSz w:w="11900" w:h="16840"/>
      <w:pgMar w:top="1440" w:right="1800" w:bottom="1440" w:left="1800" w:header="851" w:footer="992" w:gutter="0"/>
      <w:pgNumType w:fmt="decimal"/>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swiss"/>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trackRevisions w:val="1"/>
  <w:documentProtection w:enforcement="0"/>
  <w:defaultTabStop w:val="420"/>
  <w:hyphenationZone w:val="360"/>
  <w:drawingGridHorizontalSpacing w:val="120"/>
  <w:drawingGridVerticalSpacing w:val="4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7465"/>
    <w:rsid w:val="000E75D2"/>
    <w:rsid w:val="0013242D"/>
    <w:rsid w:val="00180E3B"/>
    <w:rsid w:val="00182A6F"/>
    <w:rsid w:val="0022567C"/>
    <w:rsid w:val="00241F8A"/>
    <w:rsid w:val="00265307"/>
    <w:rsid w:val="002E6940"/>
    <w:rsid w:val="00300A90"/>
    <w:rsid w:val="00386A16"/>
    <w:rsid w:val="003F2067"/>
    <w:rsid w:val="004467CD"/>
    <w:rsid w:val="0069346C"/>
    <w:rsid w:val="0069509B"/>
    <w:rsid w:val="00774362"/>
    <w:rsid w:val="007F5C8D"/>
    <w:rsid w:val="00835ED7"/>
    <w:rsid w:val="008D5DEE"/>
    <w:rsid w:val="00920E8C"/>
    <w:rsid w:val="00B2115B"/>
    <w:rsid w:val="00CC1B3A"/>
    <w:rsid w:val="00CE03E8"/>
    <w:rsid w:val="00D24634"/>
    <w:rsid w:val="00D87394"/>
    <w:rsid w:val="00DA3CE4"/>
    <w:rsid w:val="00DB4923"/>
    <w:rsid w:val="00EC1D9F"/>
    <w:rsid w:val="00EC2532"/>
    <w:rsid w:val="00FC2447"/>
    <w:rsid w:val="013D54A3"/>
    <w:rsid w:val="01B54971"/>
    <w:rsid w:val="038D31DA"/>
    <w:rsid w:val="051A2E7C"/>
    <w:rsid w:val="05BE65B8"/>
    <w:rsid w:val="068C0FE5"/>
    <w:rsid w:val="08187071"/>
    <w:rsid w:val="09130AD8"/>
    <w:rsid w:val="09EE660F"/>
    <w:rsid w:val="0A9F4E6D"/>
    <w:rsid w:val="0B114789"/>
    <w:rsid w:val="0D6B1B19"/>
    <w:rsid w:val="0F897C84"/>
    <w:rsid w:val="10370CE0"/>
    <w:rsid w:val="10470A0A"/>
    <w:rsid w:val="10976D41"/>
    <w:rsid w:val="11574305"/>
    <w:rsid w:val="12A12767"/>
    <w:rsid w:val="12A50433"/>
    <w:rsid w:val="12CE1947"/>
    <w:rsid w:val="13F12617"/>
    <w:rsid w:val="143360E4"/>
    <w:rsid w:val="1494483E"/>
    <w:rsid w:val="14BC5D04"/>
    <w:rsid w:val="15C14277"/>
    <w:rsid w:val="161554A7"/>
    <w:rsid w:val="174B5F60"/>
    <w:rsid w:val="1A174851"/>
    <w:rsid w:val="1A4F7553"/>
    <w:rsid w:val="1A741F64"/>
    <w:rsid w:val="1B7F1406"/>
    <w:rsid w:val="1BAB5225"/>
    <w:rsid w:val="1C88267E"/>
    <w:rsid w:val="1CE74CB8"/>
    <w:rsid w:val="1D0F569F"/>
    <w:rsid w:val="1D8718C7"/>
    <w:rsid w:val="1E614FD5"/>
    <w:rsid w:val="1E9A121F"/>
    <w:rsid w:val="1EB97CAA"/>
    <w:rsid w:val="20792399"/>
    <w:rsid w:val="20FF022F"/>
    <w:rsid w:val="2334038F"/>
    <w:rsid w:val="23BD11A2"/>
    <w:rsid w:val="242358E8"/>
    <w:rsid w:val="2486392B"/>
    <w:rsid w:val="2492437F"/>
    <w:rsid w:val="26EF1858"/>
    <w:rsid w:val="29BD43D9"/>
    <w:rsid w:val="29D15BB7"/>
    <w:rsid w:val="2BEB58B9"/>
    <w:rsid w:val="2CFD662E"/>
    <w:rsid w:val="2E4F156F"/>
    <w:rsid w:val="30521734"/>
    <w:rsid w:val="31752A08"/>
    <w:rsid w:val="31D5290A"/>
    <w:rsid w:val="33887B2F"/>
    <w:rsid w:val="34FB99D7"/>
    <w:rsid w:val="357E5A2A"/>
    <w:rsid w:val="36E57EC4"/>
    <w:rsid w:val="371534EB"/>
    <w:rsid w:val="381B300A"/>
    <w:rsid w:val="394E17A0"/>
    <w:rsid w:val="39F97B64"/>
    <w:rsid w:val="3A035107"/>
    <w:rsid w:val="3B6F04AA"/>
    <w:rsid w:val="3BDD5319"/>
    <w:rsid w:val="3C7F095C"/>
    <w:rsid w:val="3CD65D74"/>
    <w:rsid w:val="3DEDC965"/>
    <w:rsid w:val="3E5FFB06"/>
    <w:rsid w:val="3E8F4F6A"/>
    <w:rsid w:val="3EAC1C59"/>
    <w:rsid w:val="3FBFDB0E"/>
    <w:rsid w:val="424133FB"/>
    <w:rsid w:val="43E136F5"/>
    <w:rsid w:val="44B60015"/>
    <w:rsid w:val="4641655F"/>
    <w:rsid w:val="46905736"/>
    <w:rsid w:val="4700277F"/>
    <w:rsid w:val="49543838"/>
    <w:rsid w:val="4AE803B1"/>
    <w:rsid w:val="4DFB1726"/>
    <w:rsid w:val="4EDFD898"/>
    <w:rsid w:val="4EEC0AAF"/>
    <w:rsid w:val="4EEC0FB1"/>
    <w:rsid w:val="4EFC2D4C"/>
    <w:rsid w:val="4F604DF0"/>
    <w:rsid w:val="4FFDE8D2"/>
    <w:rsid w:val="50AE3700"/>
    <w:rsid w:val="51BE47C3"/>
    <w:rsid w:val="549D7369"/>
    <w:rsid w:val="54A6715B"/>
    <w:rsid w:val="554B5F23"/>
    <w:rsid w:val="55FB635E"/>
    <w:rsid w:val="564E008C"/>
    <w:rsid w:val="56A26516"/>
    <w:rsid w:val="56E94A3C"/>
    <w:rsid w:val="575E226C"/>
    <w:rsid w:val="59155128"/>
    <w:rsid w:val="5ABC3654"/>
    <w:rsid w:val="5AF805C4"/>
    <w:rsid w:val="5B042330"/>
    <w:rsid w:val="5B4F4930"/>
    <w:rsid w:val="5C535807"/>
    <w:rsid w:val="5DCF90B2"/>
    <w:rsid w:val="5DDD6126"/>
    <w:rsid w:val="5DF9F022"/>
    <w:rsid w:val="5E711506"/>
    <w:rsid w:val="5EDA1064"/>
    <w:rsid w:val="5EF36EA8"/>
    <w:rsid w:val="5F651CC3"/>
    <w:rsid w:val="5F7A325E"/>
    <w:rsid w:val="5FBA7570"/>
    <w:rsid w:val="5FBE29FA"/>
    <w:rsid w:val="605D718A"/>
    <w:rsid w:val="60687B08"/>
    <w:rsid w:val="634217D7"/>
    <w:rsid w:val="63F845F5"/>
    <w:rsid w:val="641724DC"/>
    <w:rsid w:val="67B557D1"/>
    <w:rsid w:val="67E52F14"/>
    <w:rsid w:val="69026E9C"/>
    <w:rsid w:val="6BF20C64"/>
    <w:rsid w:val="6BFA8687"/>
    <w:rsid w:val="6C243BD4"/>
    <w:rsid w:val="6D13219F"/>
    <w:rsid w:val="6DFF2DFD"/>
    <w:rsid w:val="6E22260A"/>
    <w:rsid w:val="6EC070F6"/>
    <w:rsid w:val="6EFB2D63"/>
    <w:rsid w:val="6F614699"/>
    <w:rsid w:val="71847E6B"/>
    <w:rsid w:val="7187777B"/>
    <w:rsid w:val="7292176B"/>
    <w:rsid w:val="72DF63C1"/>
    <w:rsid w:val="72FB6002"/>
    <w:rsid w:val="73F42588"/>
    <w:rsid w:val="745B3B9F"/>
    <w:rsid w:val="753715A5"/>
    <w:rsid w:val="757F735E"/>
    <w:rsid w:val="76895DCE"/>
    <w:rsid w:val="778D7FCD"/>
    <w:rsid w:val="78D61D4E"/>
    <w:rsid w:val="794A32FC"/>
    <w:rsid w:val="79524CB7"/>
    <w:rsid w:val="7B0F20D4"/>
    <w:rsid w:val="7B3FC292"/>
    <w:rsid w:val="7BD6A134"/>
    <w:rsid w:val="7C0A7F47"/>
    <w:rsid w:val="7CA75626"/>
    <w:rsid w:val="7CDF04B4"/>
    <w:rsid w:val="7D374772"/>
    <w:rsid w:val="7D7F1231"/>
    <w:rsid w:val="7DC8A646"/>
    <w:rsid w:val="7DD5333A"/>
    <w:rsid w:val="7EDA8028"/>
    <w:rsid w:val="7EDB8503"/>
    <w:rsid w:val="7EDF6933"/>
    <w:rsid w:val="7F5E63AA"/>
    <w:rsid w:val="7F966D4B"/>
    <w:rsid w:val="7FBFD0AD"/>
    <w:rsid w:val="7FE68ED8"/>
    <w:rsid w:val="7FF7643B"/>
    <w:rsid w:val="7FFC357B"/>
    <w:rsid w:val="7FFD4403"/>
    <w:rsid w:val="88EF355A"/>
    <w:rsid w:val="8BF9C7C0"/>
    <w:rsid w:val="8EA6FF2C"/>
    <w:rsid w:val="9B8FBFD7"/>
    <w:rsid w:val="9BDB7459"/>
    <w:rsid w:val="9FA7FF2D"/>
    <w:rsid w:val="9FB879E9"/>
    <w:rsid w:val="AEF3A42D"/>
    <w:rsid w:val="B7B7B28C"/>
    <w:rsid w:val="BBB33E11"/>
    <w:rsid w:val="BBEC17FF"/>
    <w:rsid w:val="BE1FB257"/>
    <w:rsid w:val="BFDF9614"/>
    <w:rsid w:val="C3FF9AB0"/>
    <w:rsid w:val="C57F186B"/>
    <w:rsid w:val="DAF5C756"/>
    <w:rsid w:val="DFBE00F0"/>
    <w:rsid w:val="DFFE4DE0"/>
    <w:rsid w:val="E9DFD6EE"/>
    <w:rsid w:val="ECFF7DF8"/>
    <w:rsid w:val="EDDFA131"/>
    <w:rsid w:val="EEF7DABE"/>
    <w:rsid w:val="EFDF727A"/>
    <w:rsid w:val="F2FF13B0"/>
    <w:rsid w:val="F5DCED35"/>
    <w:rsid w:val="F5FBB6BA"/>
    <w:rsid w:val="F6694023"/>
    <w:rsid w:val="F6F23B6E"/>
    <w:rsid w:val="F7F3F61A"/>
    <w:rsid w:val="F94F0F48"/>
    <w:rsid w:val="F9DF1193"/>
    <w:rsid w:val="F9EFFF15"/>
    <w:rsid w:val="FAFF03E1"/>
    <w:rsid w:val="FBCAD614"/>
    <w:rsid w:val="FBE7A45B"/>
    <w:rsid w:val="FBFB53DC"/>
    <w:rsid w:val="FBFF3FFE"/>
    <w:rsid w:val="FDF7D758"/>
    <w:rsid w:val="FE750A08"/>
    <w:rsid w:val="FF3F8E4F"/>
    <w:rsid w:val="FF77D2DB"/>
    <w:rsid w:val="FFBC4828"/>
    <w:rsid w:val="FFFECDF7"/>
    <w:rsid w:val="FFFF8E48"/>
    <w:rsid w:val="FFFFB2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宋体"/>
      <w:kern w:val="2"/>
      <w:sz w:val="24"/>
      <w:szCs w:val="24"/>
      <w:lang w:val="en-US" w:eastAsia="zh-CN" w:bidi="ar-SA"/>
    </w:rPr>
  </w:style>
  <w:style w:type="paragraph" w:styleId="5">
    <w:name w:val="heading 2"/>
    <w:basedOn w:val="1"/>
    <w:next w:val="1"/>
    <w:link w:val="19"/>
    <w:qFormat/>
    <w:uiPriority w:val="99"/>
    <w:pPr>
      <w:keepNext/>
      <w:keepLines/>
      <w:spacing w:before="260" w:after="260" w:line="416" w:lineRule="auto"/>
      <w:outlineLvl w:val="1"/>
    </w:pPr>
    <w:rPr>
      <w:rFonts w:cs="Times New Roman"/>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link w:val="18"/>
    <w:qFormat/>
    <w:uiPriority w:val="99"/>
    <w:pPr>
      <w:ind w:firstLine="420" w:firstLineChars="100"/>
    </w:pPr>
  </w:style>
  <w:style w:type="paragraph" w:styleId="3">
    <w:name w:val="Body Text"/>
    <w:basedOn w:val="1"/>
    <w:next w:val="4"/>
    <w:link w:val="17"/>
    <w:qFormat/>
    <w:uiPriority w:val="99"/>
    <w:pPr>
      <w:spacing w:after="120"/>
    </w:pPr>
  </w:style>
  <w:style w:type="paragraph" w:styleId="4">
    <w:name w:val="Body Text 2"/>
    <w:basedOn w:val="1"/>
    <w:qFormat/>
    <w:uiPriority w:val="99"/>
    <w:pPr>
      <w:widowControl w:val="0"/>
      <w:spacing w:before="240"/>
      <w:jc w:val="both"/>
    </w:pPr>
    <w:rPr>
      <w:rFonts w:ascii="Calibri" w:hAnsi="Calibri" w:eastAsia="宋体" w:cs="Times New Roman"/>
      <w:color w:val="FF0000"/>
      <w:kern w:val="2"/>
      <w:sz w:val="21"/>
      <w:szCs w:val="24"/>
      <w:lang w:val="en-US" w:eastAsia="zh-CN" w:bidi="ar-SA"/>
    </w:rPr>
  </w:style>
  <w:style w:type="paragraph" w:styleId="6">
    <w:name w:val="List 3"/>
    <w:basedOn w:val="1"/>
    <w:qFormat/>
    <w:uiPriority w:val="99"/>
    <w:pPr>
      <w:ind w:left="100" w:leftChars="400" w:hanging="200" w:hangingChars="200"/>
      <w:contextualSpacing/>
    </w:pPr>
  </w:style>
  <w:style w:type="paragraph" w:styleId="7">
    <w:name w:val="Body Text Indent"/>
    <w:basedOn w:val="1"/>
    <w:link w:val="20"/>
    <w:qFormat/>
    <w:uiPriority w:val="99"/>
    <w:pPr>
      <w:spacing w:after="120"/>
      <w:ind w:left="420" w:leftChars="200"/>
    </w:pPr>
  </w:style>
  <w:style w:type="paragraph" w:styleId="8">
    <w:name w:val="List 2"/>
    <w:basedOn w:val="1"/>
    <w:qFormat/>
    <w:uiPriority w:val="99"/>
    <w:pPr>
      <w:ind w:left="100" w:leftChars="200" w:hanging="200" w:hangingChars="200"/>
      <w:contextualSpacing/>
    </w:pPr>
  </w:style>
  <w:style w:type="paragraph" w:styleId="9">
    <w:name w:val="Balloon Text"/>
    <w:basedOn w:val="1"/>
    <w:link w:val="21"/>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2"/>
    <w:basedOn w:val="7"/>
    <w:link w:val="24"/>
    <w:qFormat/>
    <w:uiPriority w:val="99"/>
    <w:pPr>
      <w:ind w:firstLine="420" w:firstLineChars="200"/>
    </w:pPr>
  </w:style>
  <w:style w:type="character" w:styleId="16">
    <w:name w:val="Strong"/>
    <w:basedOn w:val="15"/>
    <w:qFormat/>
    <w:uiPriority w:val="22"/>
    <w:rPr>
      <w:b/>
    </w:rPr>
  </w:style>
  <w:style w:type="character" w:customStyle="1" w:styleId="17">
    <w:name w:val="正文文本 Char"/>
    <w:basedOn w:val="15"/>
    <w:link w:val="3"/>
    <w:qFormat/>
    <w:uiPriority w:val="99"/>
  </w:style>
  <w:style w:type="character" w:customStyle="1" w:styleId="18">
    <w:name w:val="正文首行缩进 Char"/>
    <w:basedOn w:val="17"/>
    <w:link w:val="2"/>
    <w:qFormat/>
    <w:uiPriority w:val="99"/>
  </w:style>
  <w:style w:type="character" w:customStyle="1" w:styleId="19">
    <w:name w:val="标题 2 Char"/>
    <w:basedOn w:val="15"/>
    <w:link w:val="5"/>
    <w:qFormat/>
    <w:uiPriority w:val="99"/>
    <w:rPr>
      <w:rFonts w:ascii="Cambria" w:hAnsi="Cambria" w:eastAsia="宋体" w:cs="Times New Roman"/>
      <w:b/>
      <w:bCs/>
      <w:sz w:val="32"/>
      <w:szCs w:val="32"/>
    </w:rPr>
  </w:style>
  <w:style w:type="character" w:customStyle="1" w:styleId="20">
    <w:name w:val="正文文本缩进 Char"/>
    <w:basedOn w:val="15"/>
    <w:link w:val="7"/>
    <w:qFormat/>
    <w:uiPriority w:val="99"/>
  </w:style>
  <w:style w:type="character" w:customStyle="1" w:styleId="21">
    <w:name w:val="批注框文本 Char"/>
    <w:basedOn w:val="15"/>
    <w:link w:val="9"/>
    <w:qFormat/>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页眉 Char"/>
    <w:basedOn w:val="15"/>
    <w:link w:val="11"/>
    <w:qFormat/>
    <w:uiPriority w:val="99"/>
    <w:rPr>
      <w:sz w:val="18"/>
      <w:szCs w:val="18"/>
    </w:rPr>
  </w:style>
  <w:style w:type="character" w:customStyle="1" w:styleId="24">
    <w:name w:val="正文首行缩进 2 Char"/>
    <w:basedOn w:val="20"/>
    <w:link w:val="13"/>
    <w:qFormat/>
    <w:uiPriority w:val="99"/>
  </w:style>
  <w:style w:type="paragraph" w:styleId="25">
    <w:name w:val="List Paragraph"/>
    <w:basedOn w:val="1"/>
    <w:qFormat/>
    <w:uiPriority w:val="99"/>
    <w:pPr>
      <w:ind w:firstLine="420" w:firstLineChars="200"/>
    </w:pPr>
  </w:style>
  <w:style w:type="paragraph" w:customStyle="1" w:styleId="26">
    <w:name w:val="默认段落字体 Para Char Char"/>
    <w:basedOn w:val="1"/>
    <w:qFormat/>
    <w:uiPriority w:val="0"/>
    <w:rPr>
      <w:rFonts w:ascii="Times New Roman" w:hAnsi="Times New Roman" w:cs="Times New Roman"/>
      <w:sz w:val="21"/>
    </w:rPr>
  </w:style>
  <w:style w:type="paragraph" w:customStyle="1" w:styleId="27">
    <w:name w:val="Default"/>
    <w:unhideWhenUsed/>
    <w:qFormat/>
    <w:uiPriority w:val="99"/>
    <w:pPr>
      <w:widowControl w:val="0"/>
      <w:autoSpaceDE w:val="0"/>
      <w:autoSpaceDN w:val="0"/>
      <w:adjustRightInd w:val="0"/>
      <w:spacing w:beforeLines="0" w:afterLines="0"/>
    </w:pPr>
    <w:rPr>
      <w:rFonts w:hint="default" w:ascii="仿宋" w:hAnsi="仿宋" w:eastAsia="仿宋" w:cs="Times New Roman"/>
      <w:color w:val="000000"/>
      <w:sz w:val="24"/>
    </w:rPr>
  </w:style>
  <w:style w:type="paragraph" w:customStyle="1" w:styleId="28">
    <w:name w:val="正文_0"/>
    <w:next w:val="29"/>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PlainText"/>
    <w:basedOn w:val="28"/>
    <w:qFormat/>
    <w:uiPriority w:val="0"/>
    <w:pPr>
      <w:textAlignment w:val="baseline"/>
    </w:pPr>
    <w:rPr>
      <w:rFonts w:ascii="宋体" w:hAnsi="Courier New"/>
    </w:rPr>
  </w:style>
  <w:style w:type="character" w:customStyle="1" w:styleId="30">
    <w:name w:val="font3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casil-group</Company>
  <Pages>9</Pages>
  <Words>4578</Words>
  <Characters>4972</Characters>
  <Lines>1</Lines>
  <Paragraphs>1</Paragraphs>
  <TotalTime>11</TotalTime>
  <ScaleCrop>false</ScaleCrop>
  <LinksUpToDate>false</LinksUpToDate>
  <CharactersWithSpaces>4991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2017-10-24T22:53:00Z</dcterms:created>
  <dc:creator>Hongju Wu</dc:creator>
  <cp:lastModifiedBy>laiwb</cp:lastModifiedBy>
  <cp:lastPrinted>2025-11-28T22:56:00Z</cp:lastPrinted>
  <dcterms:modified xsi:type="dcterms:W3CDTF">2025-12-29T11:46:33Z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A8B1A408419AFCD9031D29697AD8A727</vt:lpwstr>
  </property>
  <property fmtid="{D5CDD505-2E9C-101B-9397-08002B2CF9AE}" pid="4" name="KSOTemplateDocerSaveRecord">
    <vt:lpwstr>eyJoZGlkIjoiNzNhY2JlOTBmZWZiNjkyZGNlODUxZDhkOGNjNTgyODciLCJ1c2VySWQiOiI0Mzc3ODU5MzAifQ==</vt:lpwstr>
  </property>
</Properties>
</file>