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90" w:lineRule="exact"/>
        <w:jc w:val="left"/>
        <w:outlineLvl w:val="0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590" w:lineRule="exact"/>
        <w:jc w:val="center"/>
        <w:outlineLvl w:val="0"/>
        <w:rPr>
          <w:rFonts w:hint="eastAsia" w:ascii="方正小标宋_GBK" w:hAnsi="Times New Roman" w:eastAsia="方正小标宋_GBK" w:cs="Times New Roman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w w:val="100"/>
          <w:sz w:val="44"/>
          <w:szCs w:val="44"/>
          <w:lang w:val="en-US" w:eastAsia="zh-CN"/>
        </w:rPr>
        <w:t>深圳市社会办医疗机构行业信用评价</w:t>
      </w:r>
    </w:p>
    <w:p>
      <w:pPr>
        <w:autoSpaceDN w:val="0"/>
        <w:spacing w:line="590" w:lineRule="exact"/>
        <w:jc w:val="center"/>
        <w:outlineLvl w:val="0"/>
        <w:rPr>
          <w:rFonts w:hint="eastAsia" w:ascii="方正小标宋_GBK" w:hAnsi="Times New Roman" w:eastAsia="方正小标宋_GBK" w:cs="Times New Roman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w w:val="100"/>
          <w:sz w:val="44"/>
          <w:szCs w:val="44"/>
          <w:lang w:val="en-US" w:eastAsia="zh-CN"/>
        </w:rPr>
        <w:t>管理办法（试行）</w:t>
      </w:r>
    </w:p>
    <w:p>
      <w:pPr>
        <w:jc w:val="center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（征求意见稿）</w:t>
      </w:r>
    </w:p>
    <w:p>
      <w:pPr>
        <w:pStyle w:val="4"/>
      </w:pPr>
    </w:p>
    <w:p>
      <w:pPr>
        <w:pStyle w:val="7"/>
        <w:widowControl/>
        <w:spacing w:beforeAutospacing="0" w:afterAutospacing="0" w:line="5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第一章　总 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加强医疗卫生领域信用体系建设，创新医疗卫生监管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手段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，强化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社会办医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依法执业、诚信执业意识，引导规范民营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发展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《深圳经济特区社会信用条例》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等有关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规定，结合本市实际，制定本办法。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第二条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本办法适用于本市行政区域内社会办医疗机构（以下简称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信用信息采集、信用评价、评价结果应用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异议处理。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信用评价遵循合法、客观、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公正、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审慎、必要原则，不得危害国家安全、公共安全和公共利益，不得泄露国家秘密、商业秘密和个人隐私。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第四条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市卫生健康行政部门负责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统筹、指导、评估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本市医疗机构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信用评价管理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工作，建立健全行业信用治理体系，制定完善相关制度标准规范，在职责范围内组织开展行业信用评价，推动行业信用评价结果应用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各区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卫生健康行政部门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负责管辖区域内医疗机构行业信用评价管理工作，对所管辖医疗机构组织开展行业信用评价，落实行业信用评价结果应用。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第五条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市卫生健康行政部门建设本市卫生健康信用信息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（以下简称“管理系统”）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行业信用信息采集、信用评价及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异议处理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通过管理系统完成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信用评价结果纳入公共信用信息管理，向市公共信用机构和其他有关部门共享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，并依法向社会公开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鼓励行业协会商会积极参与行业信用建设，制定实施行规、行约和行业职业道德准则，发挥行业自律管理作用，促进行业健康规范发展。</w:t>
      </w:r>
    </w:p>
    <w:p>
      <w:pPr>
        <w:pStyle w:val="7"/>
        <w:widowControl/>
        <w:spacing w:beforeAutospacing="0" w:afterAutospacing="0" w:line="5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第二章　信用信息采集</w:t>
      </w:r>
    </w:p>
    <w:p>
      <w:pPr>
        <w:pStyle w:val="7"/>
        <w:widowControl/>
        <w:spacing w:beforeAutospacing="0" w:afterAutospacing="0" w:line="540" w:lineRule="exact"/>
        <w:ind w:firstLine="648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信息包括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基础信息、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增信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信息、失信信息和严重失信信息。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基础信息是指可用于识别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医疗机构及相关医疗卫生人员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身份、资质、能力等基本情况的信息，主要包括登记注册、许可备案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、资质资格、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增信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信息是指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医疗机构在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社会和经济活动中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良好行为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信息，主要包括表扬表彰奖励、医疗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慈善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公益、创新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成果等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信息是指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除失信信息和严重失信信息外，医疗机构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未落实卫生健康行政管理政策和要求的信息，主要包括轻微行政处罚、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不良执业行为记分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、医疗事故、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医疗损害、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事件、违反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失信信息是指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受到卫生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行政处罚、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涉医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刑事处罚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拒不履行生效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行政处罚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严重失信信息是指被依法列入全国、广东省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本市范围内实施的严重失信主体名单的信息。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医疗卫生人员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因违反卫生相关法律法规产生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的失信信息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、严重失信信息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纳入其发生违法违规行为所在医疗机构的信用评价。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医疗机构和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医疗卫生人员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因同一行为产生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失信信息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、严重失信信息的，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医疗卫生人员的失信信息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、严重失信信息不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纳入医疗机构的信用评价。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信用信息从卫生健康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部门相关业务信息采集，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由其他相关部门共享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、医疗机构主动申报取得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tabs>
          <w:tab w:val="right" w:pos="8306"/>
        </w:tabs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医疗机构通过管理系统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，提交的信用信息由卫生健康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行政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部门依职责审核。</w:t>
      </w:r>
    </w:p>
    <w:p>
      <w:pPr>
        <w:pStyle w:val="7"/>
        <w:widowControl/>
        <w:spacing w:beforeAutospacing="0" w:afterAutospacing="0" w:line="5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第三章　信用评价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十六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信用评价每自然年度开展一次，于每年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前完成上一年度的信用评价。评价结果自公布之日起至下一次评价结果公布之日内有效。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十七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市卫生健康行政部门制定社会办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信用评价标准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。根据相关法律法规要求和工作实际，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信用评价标准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需要调整的，市卫生健康行政部门应当及时调整并向社会公布。</w:t>
      </w:r>
    </w:p>
    <w:p>
      <w:pPr>
        <w:tabs>
          <w:tab w:val="right" w:pos="8306"/>
        </w:tabs>
        <w:ind w:firstLine="640" w:firstLineChars="200"/>
        <w:rPr>
          <w:rFonts w:hint="default"/>
          <w:lang w:val="en-US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第十八条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信用评价实行评分制，赋予每个医疗机构基础分值100分，根据信用评价标准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对其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记分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后得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出其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评价得分。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同一行为符合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信用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评价标准多项规定，按照数值高的规定计算得分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right" w:pos="8306"/>
        </w:tabs>
        <w:ind w:firstLine="640" w:firstLineChars="200"/>
        <w:rPr>
          <w:rStyle w:val="10"/>
          <w:rFonts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十九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分为五个等级：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A级（诚信）、B级（守信）、C级（警示）、D级（失信）、E级（严重失信）。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评价得分100分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以上的，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为A级；85分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以上但小于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为B级；60分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以上但小于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85分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为C级；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小于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60分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为D级。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被依法列入全国、广东省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本市范围内实施的严重失信主体名单的医疗机构直接评定为E级。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第二十条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新建运营未满一年且未产生失信信息、严重失信信息的医疗机构不参与信用评价。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因改建、扩建原因停业超过一年且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在停业期间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未产生失信信息、严重失信信息的医疗机构不参与信用评价。</w:t>
      </w:r>
    </w:p>
    <w:p>
      <w:pPr>
        <w:pStyle w:val="4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一条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对不具备法人资格的医疗机构进行信用评价，其信用信息同时纳入举办医疗机构的信用评价。</w:t>
      </w:r>
    </w:p>
    <w:p>
      <w:pPr>
        <w:pStyle w:val="7"/>
        <w:widowControl/>
        <w:spacing w:beforeAutospacing="0" w:afterAutospacing="0" w:line="5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第四章　信用评价结果应用</w:t>
      </w:r>
    </w:p>
    <w:p>
      <w:pPr>
        <w:tabs>
          <w:tab w:val="right" w:pos="8306"/>
        </w:tabs>
        <w:ind w:firstLine="640" w:firstLineChars="200"/>
        <w:rPr>
          <w:rFonts w:hint="default"/>
          <w:lang w:val="en-US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信用评价结果依法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依规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运用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行政许可、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财政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扶持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等级评审、评优评先、日常监管等行政管理和政务服务工作。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市、区卫生健康行政部门对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信用等级为A级的医疗机构按下列规定进行管理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享受行政许可容缺受理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同等条件下，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在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评优评先、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科研项目、参与标准规范制定等项目中列为优先选择或重点推荐对象；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（三）实行“无事不扰”监督，原则上不列入日常监督、双随机检查、专项检查范围，仅对其开展信访投诉调查。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第二十四条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市、区卫生健康行政部门对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信用等级为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级的医疗机构按下列规定进行管理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按一般规定进行监督检查，对其开展信访投诉调查时合并进行日常监督，双随机检查、专项检查按不高于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5%的比例抽查。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第二十五条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市、区卫生健康行政部门对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信用等级为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级的医疗机构按下列规定进行管理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（一）约谈法定代表人或业务负责人，发送监督提醒函；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（二）加大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检查力度，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对其开展信访投诉调查，进行日常监督，双随机检查、专项检查按不低于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30%的比例抽查。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第二十六条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市、区卫生健康行政部门对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信用等级为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级的医疗机构按下列规定进行管理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（一）不适用信用承诺制办理行政许可；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申报等级评（复）审的，不予受理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（三）原则上不列入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评优评先选择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（四）约谈法定代表人，发送履行主体责任提示函；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（五）实行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“逢检必查”监督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，列入重点监督对象；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校验审查时必须进行现场审查。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第二十七条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市、区卫生健康行政部门对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信用等级为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级的医疗机构按下列规定进行管理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（一）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不适用信用承诺制办理行政许可；</w:t>
      </w:r>
    </w:p>
    <w:p>
      <w:pPr>
        <w:numPr>
          <w:ilvl w:val="-1"/>
          <w:numId w:val="0"/>
        </w:num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申报等级评（复）审的，不予受理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（三）不列入评优评先、科研项目、参与标准规范制定等项目选择对象；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按全国失信惩戒措施基础清单和广东省、深圳市失信惩戒措施补充清单有关规定禁止参加政府采购；</w:t>
      </w:r>
    </w:p>
    <w:p>
      <w:pPr>
        <w:pStyle w:val="4"/>
        <w:numPr>
          <w:ilvl w:val="-1"/>
          <w:numId w:val="0"/>
        </w:numPr>
        <w:ind w:left="0" w:leftChars="0"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（五）约谈法定代表人，发送履行主体责任提示函；</w:t>
      </w:r>
    </w:p>
    <w:p>
      <w:pPr>
        <w:pStyle w:val="4"/>
        <w:numPr>
          <w:ilvl w:val="-1"/>
          <w:numId w:val="0"/>
        </w:numPr>
        <w:ind w:left="0" w:leftChars="0"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“逢检必查”监督，列入全面监管对象,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纳入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双随机抽查经营异常名录库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校验审查时必须进行现场审查。</w:t>
      </w:r>
    </w:p>
    <w:p>
      <w:pPr>
        <w:pStyle w:val="4"/>
        <w:numPr>
          <w:ilvl w:val="0"/>
          <w:numId w:val="0"/>
        </w:numPr>
        <w:ind w:firstLine="640" w:firstLineChars="200"/>
        <w:rPr>
          <w:rStyle w:val="10"/>
          <w:rFonts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（八）对管理混乱，有严重事故隐患，可能直接影响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医疗安全的，责令限期整改。机构在限期整改期间申请校验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（校验期为三年的医疗机构采用校验期最后一次信用评价结果）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，卫生健康行政部门应当依法予以暂缓校验。</w:t>
      </w:r>
    </w:p>
    <w:p>
      <w:pPr>
        <w:pStyle w:val="7"/>
        <w:widowControl/>
        <w:numPr>
          <w:ilvl w:val="0"/>
          <w:numId w:val="1"/>
        </w:numPr>
        <w:spacing w:beforeAutospacing="0" w:afterAutospacing="0" w:line="54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异议处理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和信用修复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二十八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结果产生后，由市、区卫生健康行政部门通过管理系统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信用信息、评价得分及评价结果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告知医疗机构。</w:t>
      </w:r>
    </w:p>
    <w:p>
      <w:pPr>
        <w:tabs>
          <w:tab w:val="right" w:pos="8306"/>
        </w:tabs>
        <w:ind w:firstLine="640" w:firstLineChars="200"/>
        <w:rPr>
          <w:rStyle w:val="10"/>
          <w:rFonts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可以登录管理系统查询结果，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信用信息、评价得分及评价结果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有异议的，在告知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到达管理系统医疗机构端口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之日起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个工作日内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通过管理系统提出异议申请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并提交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相关佐证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材料，逾期视为认同告知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二十九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卫生健康部门在收到异议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之日起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个工作日内对异议情况进行调查核实，作出是否更正的决定，并及时将处理结果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通过管理系统告知医疗机构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。信用评价结果经核实确实有误的，应当进行更正。核实无误的，维持原评价结果。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调查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核实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过程需要检验、检测、检疫、鉴定、专家评审或者其他有关部门出具意见的,应通过管理系统告知申请人所需时间，所需时间不计入调查核实时间。</w:t>
      </w:r>
    </w:p>
    <w:p>
      <w:pPr>
        <w:tabs>
          <w:tab w:val="right" w:pos="8306"/>
        </w:tabs>
        <w:ind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第三十条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信用信息修复的方式包括移出严重失信主体名单、终止公示行政处罚信息和修复其他信用信息。</w:t>
      </w:r>
    </w:p>
    <w:p>
      <w:pPr>
        <w:tabs>
          <w:tab w:val="right" w:pos="8306"/>
        </w:tabs>
        <w:ind w:left="638" w:leftChars="304" w:firstLine="0" w:firstLineChars="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移出严重失信主体名单，按认定单位有关规定执行。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终止公示行政处罚信息，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  <w:t>按《失信行为纠正后的信用信息修复管理办法(试行)》规定执行。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第三十一条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同时符合下列条件，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可以通过管理系统提出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  <w:t>其他信用信息修复申请，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并提交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相关佐证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  <w:t>（一）信用信息关联的法定义务和约定义务完全履行，社会不良影响基本消除；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  <w:t>（二）自信用信息认定之日起至申请修复不少于3个月；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  <w:t>（三）通过作出信用承诺、完成信用整改、通过信用核查、接受专题培训、提交信用报告等方式主动实施修复措施。</w:t>
      </w:r>
    </w:p>
    <w:p>
      <w:pPr>
        <w:tabs>
          <w:tab w:val="right" w:pos="8306"/>
        </w:tabs>
        <w:ind w:firstLine="640" w:firstLineChars="200"/>
        <w:rPr>
          <w:rStyle w:val="10"/>
          <w:rFonts w:hint="default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第三十二条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市、区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卫生健康部门在收到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修复申请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之日起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个工作日内进行调查核实，作出是否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修复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的决定，并及时将处理结果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通过管理系统告知医疗机构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。对符合修复条件的,同意修复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对不符合修复条件的,不予修复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3个工作日内不能作出决定的，经本级卫生健康行政部门负责人批准，可以延长3个工作日。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rPr>
          <w:rFonts w:hint="default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第三十三条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shd w:val="clear" w:color="auto" w:fill="auto"/>
          <w:lang w:val="en-US" w:eastAsia="zh-CN" w:bidi="ar"/>
        </w:rPr>
        <w:t>开展信用评价时，已经修复的信用信息不纳入信用评价。</w:t>
      </w:r>
    </w:p>
    <w:p>
      <w:pPr>
        <w:pStyle w:val="7"/>
        <w:widowControl/>
        <w:spacing w:beforeAutospacing="0" w:afterAutospacing="0" w:line="5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章　附 则</w:t>
      </w:r>
    </w:p>
    <w:p>
      <w:pPr>
        <w:tabs>
          <w:tab w:val="right" w:pos="8306"/>
        </w:tabs>
        <w:ind w:left="0" w:leftChars="0" w:firstLine="640" w:firstLineChars="200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第三十四条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本办法所称“以上”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以下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、“不超过”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包括本数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right" w:pos="8306"/>
        </w:tabs>
        <w:ind w:firstLine="640" w:firstLineChars="200"/>
        <w:rPr>
          <w:rStyle w:val="10"/>
          <w:rFonts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第三十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本办法由深圳市卫生健康委员会负责解释。</w:t>
      </w:r>
    </w:p>
    <w:p>
      <w:pPr>
        <w:tabs>
          <w:tab w:val="right" w:pos="8306"/>
        </w:tabs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第三十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本办法自xx年xx月xx日起试行，有效期3年。</w:t>
      </w:r>
    </w:p>
    <w:p>
      <w:pPr>
        <w:pStyle w:val="4"/>
        <w:rPr>
          <w:rFonts w:hint="eastAsia"/>
        </w:rPr>
      </w:pPr>
    </w:p>
    <w:p>
      <w:pPr>
        <w:tabs>
          <w:tab w:val="right" w:pos="8306"/>
        </w:tabs>
        <w:ind w:firstLine="640" w:firstLineChars="200"/>
        <w:jc w:val="left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附件：1.《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社会办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信用评价标准（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不含医</w:t>
      </w:r>
    </w:p>
    <w:p>
      <w:pPr>
        <w:tabs>
          <w:tab w:val="right" w:pos="8306"/>
        </w:tabs>
        <w:ind w:firstLine="1600" w:firstLineChars="500"/>
        <w:jc w:val="left"/>
        <w:rPr>
          <w:rStyle w:val="10"/>
          <w:rFonts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学检验实验室和消毒供应中心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）》</w:t>
      </w:r>
    </w:p>
    <w:p>
      <w:pPr>
        <w:tabs>
          <w:tab w:val="right" w:pos="8306"/>
        </w:tabs>
        <w:ind w:firstLine="1600" w:firstLineChars="500"/>
        <w:jc w:val="left"/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.《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社会办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医疗机构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信用评价标准（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医学检</w:t>
      </w:r>
    </w:p>
    <w:p>
      <w:pPr>
        <w:tabs>
          <w:tab w:val="right" w:pos="8306"/>
        </w:tabs>
        <w:ind w:firstLine="1600" w:firstLineChars="500"/>
        <w:jc w:val="left"/>
        <w:rPr>
          <w:rFonts w:hint="eastAsia" w:eastAsia="仿宋_GB231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验实验室和消毒供应中心</w:t>
      </w:r>
      <w:r>
        <w:rPr>
          <w:rStyle w:val="10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）》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454D1"/>
    <w:multiLevelType w:val="singleLevel"/>
    <w:tmpl w:val="BBB454D1"/>
    <w:lvl w:ilvl="0" w:tentative="0">
      <w:start w:val="5"/>
      <w:numFmt w:val="chineseCounting"/>
      <w:suff w:val="nothing"/>
      <w:lvlText w:val="第%1章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ZWU2MTZhZDgzMjQ5ZTJiZTQ4NGU5MzY1MDI2OTcifQ=="/>
  </w:docVars>
  <w:rsids>
    <w:rsidRoot w:val="00832906"/>
    <w:rsid w:val="000420F3"/>
    <w:rsid w:val="000647E0"/>
    <w:rsid w:val="000712DD"/>
    <w:rsid w:val="000B16D2"/>
    <w:rsid w:val="000D29C5"/>
    <w:rsid w:val="001269DF"/>
    <w:rsid w:val="001A0BFF"/>
    <w:rsid w:val="00202E54"/>
    <w:rsid w:val="00210FB0"/>
    <w:rsid w:val="00233FB2"/>
    <w:rsid w:val="00237841"/>
    <w:rsid w:val="002414C2"/>
    <w:rsid w:val="00247214"/>
    <w:rsid w:val="00285AD4"/>
    <w:rsid w:val="002D315A"/>
    <w:rsid w:val="002F4D6D"/>
    <w:rsid w:val="002F7A8D"/>
    <w:rsid w:val="0033302D"/>
    <w:rsid w:val="003525E3"/>
    <w:rsid w:val="003805A9"/>
    <w:rsid w:val="003851CE"/>
    <w:rsid w:val="00396DBA"/>
    <w:rsid w:val="003C2264"/>
    <w:rsid w:val="003C393D"/>
    <w:rsid w:val="003C7B2B"/>
    <w:rsid w:val="00452B0E"/>
    <w:rsid w:val="0047574E"/>
    <w:rsid w:val="004B05C5"/>
    <w:rsid w:val="004B2931"/>
    <w:rsid w:val="004B793C"/>
    <w:rsid w:val="00541145"/>
    <w:rsid w:val="0054410E"/>
    <w:rsid w:val="00582726"/>
    <w:rsid w:val="00592A65"/>
    <w:rsid w:val="005B5684"/>
    <w:rsid w:val="006112F2"/>
    <w:rsid w:val="006454D2"/>
    <w:rsid w:val="00670A0F"/>
    <w:rsid w:val="00692FBE"/>
    <w:rsid w:val="006A6733"/>
    <w:rsid w:val="006D0549"/>
    <w:rsid w:val="006D7C77"/>
    <w:rsid w:val="006F743E"/>
    <w:rsid w:val="00742D32"/>
    <w:rsid w:val="00762931"/>
    <w:rsid w:val="007D7050"/>
    <w:rsid w:val="007E0C72"/>
    <w:rsid w:val="007E175E"/>
    <w:rsid w:val="007E5DFA"/>
    <w:rsid w:val="00821FDB"/>
    <w:rsid w:val="00823776"/>
    <w:rsid w:val="00824584"/>
    <w:rsid w:val="00832906"/>
    <w:rsid w:val="008E7E42"/>
    <w:rsid w:val="008F2BB4"/>
    <w:rsid w:val="009162A1"/>
    <w:rsid w:val="00922727"/>
    <w:rsid w:val="00957D1B"/>
    <w:rsid w:val="009650DF"/>
    <w:rsid w:val="0096780C"/>
    <w:rsid w:val="00977518"/>
    <w:rsid w:val="00982194"/>
    <w:rsid w:val="0098349F"/>
    <w:rsid w:val="00A51F55"/>
    <w:rsid w:val="00AE23F9"/>
    <w:rsid w:val="00AF4B25"/>
    <w:rsid w:val="00B2675A"/>
    <w:rsid w:val="00B27E24"/>
    <w:rsid w:val="00B37963"/>
    <w:rsid w:val="00B41CBB"/>
    <w:rsid w:val="00B43E50"/>
    <w:rsid w:val="00B66483"/>
    <w:rsid w:val="00B7040D"/>
    <w:rsid w:val="00C00F36"/>
    <w:rsid w:val="00C064AA"/>
    <w:rsid w:val="00C123A7"/>
    <w:rsid w:val="00C1325B"/>
    <w:rsid w:val="00C40E04"/>
    <w:rsid w:val="00C63F8F"/>
    <w:rsid w:val="00C81925"/>
    <w:rsid w:val="00CB5203"/>
    <w:rsid w:val="00CC4CDF"/>
    <w:rsid w:val="00CD1A6A"/>
    <w:rsid w:val="00CE04EF"/>
    <w:rsid w:val="00CF3602"/>
    <w:rsid w:val="00D55BB9"/>
    <w:rsid w:val="00DB4DDB"/>
    <w:rsid w:val="00E43410"/>
    <w:rsid w:val="00E465CE"/>
    <w:rsid w:val="00E745EE"/>
    <w:rsid w:val="00E90FD7"/>
    <w:rsid w:val="00EC3B7C"/>
    <w:rsid w:val="00F10C4D"/>
    <w:rsid w:val="00F723DB"/>
    <w:rsid w:val="00F734E2"/>
    <w:rsid w:val="00F954BF"/>
    <w:rsid w:val="00FB5F94"/>
    <w:rsid w:val="00FC3961"/>
    <w:rsid w:val="00FC62B1"/>
    <w:rsid w:val="00FE1BFE"/>
    <w:rsid w:val="00FF4E3F"/>
    <w:rsid w:val="00FF7FAF"/>
    <w:rsid w:val="0FD30713"/>
    <w:rsid w:val="1DFE4BAC"/>
    <w:rsid w:val="1E7F6D7A"/>
    <w:rsid w:val="1EAFF5DF"/>
    <w:rsid w:val="258C2CC2"/>
    <w:rsid w:val="27493E8A"/>
    <w:rsid w:val="27DD55BD"/>
    <w:rsid w:val="2F3DF4E5"/>
    <w:rsid w:val="31656F01"/>
    <w:rsid w:val="36E7B09B"/>
    <w:rsid w:val="37BC2FF5"/>
    <w:rsid w:val="3AF60C52"/>
    <w:rsid w:val="3EFF325A"/>
    <w:rsid w:val="3FBFEF1C"/>
    <w:rsid w:val="4B9FADF3"/>
    <w:rsid w:val="4FBD5D4A"/>
    <w:rsid w:val="4FDF838A"/>
    <w:rsid w:val="57FE87F9"/>
    <w:rsid w:val="5AB5123B"/>
    <w:rsid w:val="5B7FB6BC"/>
    <w:rsid w:val="5DBDEBC8"/>
    <w:rsid w:val="5EF74E80"/>
    <w:rsid w:val="5FE7B893"/>
    <w:rsid w:val="5FEF3AB6"/>
    <w:rsid w:val="60A63CEA"/>
    <w:rsid w:val="60E3D43A"/>
    <w:rsid w:val="66FF180C"/>
    <w:rsid w:val="67BD74CA"/>
    <w:rsid w:val="6BBD3455"/>
    <w:rsid w:val="6C67C900"/>
    <w:rsid w:val="6DF7D73B"/>
    <w:rsid w:val="6FFF76B0"/>
    <w:rsid w:val="72705654"/>
    <w:rsid w:val="72EF5BE8"/>
    <w:rsid w:val="73BF0DF8"/>
    <w:rsid w:val="75A374F8"/>
    <w:rsid w:val="75EFF231"/>
    <w:rsid w:val="76BAAD6D"/>
    <w:rsid w:val="76FDF773"/>
    <w:rsid w:val="77DD2F60"/>
    <w:rsid w:val="786A7AC3"/>
    <w:rsid w:val="7BEDE8DE"/>
    <w:rsid w:val="7BFF22F4"/>
    <w:rsid w:val="7D2DA242"/>
    <w:rsid w:val="7DAFB9A1"/>
    <w:rsid w:val="7DDF7D70"/>
    <w:rsid w:val="7E6F55DC"/>
    <w:rsid w:val="7E7BE311"/>
    <w:rsid w:val="7EDEDEEE"/>
    <w:rsid w:val="7EE325F7"/>
    <w:rsid w:val="7F345867"/>
    <w:rsid w:val="7F7D4237"/>
    <w:rsid w:val="7FADEF72"/>
    <w:rsid w:val="7FDFF632"/>
    <w:rsid w:val="7FE144FE"/>
    <w:rsid w:val="7FEF2CB7"/>
    <w:rsid w:val="7FF7B46E"/>
    <w:rsid w:val="7FFBD774"/>
    <w:rsid w:val="8D3FDDC6"/>
    <w:rsid w:val="973FFB95"/>
    <w:rsid w:val="9F321E65"/>
    <w:rsid w:val="A6FE27BA"/>
    <w:rsid w:val="AA7FF669"/>
    <w:rsid w:val="B37B68C5"/>
    <w:rsid w:val="B3DF04EE"/>
    <w:rsid w:val="BB735C0E"/>
    <w:rsid w:val="BDDF6D4F"/>
    <w:rsid w:val="BDF780F6"/>
    <w:rsid w:val="BFFFDD3E"/>
    <w:rsid w:val="C7F31305"/>
    <w:rsid w:val="C9FB6AE3"/>
    <w:rsid w:val="CED301A4"/>
    <w:rsid w:val="CEEFD233"/>
    <w:rsid w:val="D3FC4666"/>
    <w:rsid w:val="D7DF65AE"/>
    <w:rsid w:val="DBFE26F5"/>
    <w:rsid w:val="DC7E62ED"/>
    <w:rsid w:val="DDFF98FB"/>
    <w:rsid w:val="DE548689"/>
    <w:rsid w:val="DEFE83B5"/>
    <w:rsid w:val="DF3CD3A7"/>
    <w:rsid w:val="EBABC0E8"/>
    <w:rsid w:val="EBFF7821"/>
    <w:rsid w:val="ED7EA07F"/>
    <w:rsid w:val="ED7F8334"/>
    <w:rsid w:val="EDEE7A99"/>
    <w:rsid w:val="EFBF0016"/>
    <w:rsid w:val="EFE62410"/>
    <w:rsid w:val="EFEF55D2"/>
    <w:rsid w:val="EFFF9B7E"/>
    <w:rsid w:val="F2FB7C9D"/>
    <w:rsid w:val="F5FF2860"/>
    <w:rsid w:val="F7EB9C07"/>
    <w:rsid w:val="F8CF6B5C"/>
    <w:rsid w:val="F9FDADBE"/>
    <w:rsid w:val="FAF7C8BD"/>
    <w:rsid w:val="FBD790BE"/>
    <w:rsid w:val="FBEEF3C5"/>
    <w:rsid w:val="FBFEE072"/>
    <w:rsid w:val="FC7F9ACE"/>
    <w:rsid w:val="FD5B43EF"/>
    <w:rsid w:val="FDD662F3"/>
    <w:rsid w:val="FDDF0781"/>
    <w:rsid w:val="FDFB2951"/>
    <w:rsid w:val="FEB5BACB"/>
    <w:rsid w:val="FECF77F8"/>
    <w:rsid w:val="FEEB3807"/>
    <w:rsid w:val="FFA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3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4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5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6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3647</Words>
  <Characters>3693</Characters>
  <Lines>26</Lines>
  <Paragraphs>7</Paragraphs>
  <TotalTime>0</TotalTime>
  <ScaleCrop>false</ScaleCrop>
  <LinksUpToDate>false</LinksUpToDate>
  <CharactersWithSpaces>3742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2024-10-18T16:38:00Z</dcterms:created>
  <dc:creator>沈钦洲</dc:creator>
  <cp:lastModifiedBy>沈雪枫</cp:lastModifiedBy>
  <cp:lastPrinted>2025-03-29T07:12:00Z</cp:lastPrinted>
  <dcterms:modified xsi:type="dcterms:W3CDTF">2025-04-02T17:52:41Z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B991018F2DEE409C9F48852FD4DD964D_12</vt:lpwstr>
  </property>
</Properties>
</file>