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line="590" w:lineRule="exact"/>
        <w:jc w:val="left"/>
        <w:outlineLvl w:val="0"/>
        <w:rPr>
          <w:rFonts w:hint="default" w:ascii="黑体" w:hAnsi="黑体" w:eastAsia="黑体" w:cs="黑体"/>
          <w:w w:val="100"/>
          <w:sz w:val="32"/>
          <w:szCs w:val="32"/>
          <w:lang w:val="en-US" w:eastAsia="zh-CN"/>
        </w:rPr>
      </w:pPr>
      <w:r>
        <w:rPr>
          <w:rFonts w:hint="eastAsia" w:ascii="黑体" w:hAnsi="黑体" w:eastAsia="黑体" w:cs="黑体"/>
          <w:w w:val="100"/>
          <w:sz w:val="32"/>
          <w:szCs w:val="32"/>
          <w:lang w:val="en-US" w:eastAsia="zh-CN"/>
        </w:rPr>
        <w:t>附件2</w:t>
      </w:r>
    </w:p>
    <w:p>
      <w:pPr>
        <w:spacing w:line="560" w:lineRule="exact"/>
        <w:jc w:val="center"/>
        <w:rPr>
          <w:rFonts w:hint="eastAsia" w:ascii="方正小标宋_GBK" w:eastAsia="方正小标宋_GBK"/>
          <w:bCs/>
          <w:color w:val="000000" w:themeColor="text1"/>
          <w:sz w:val="44"/>
          <w:szCs w:val="44"/>
          <w:lang w:eastAsia="zh-CN"/>
          <w14:textFill>
            <w14:solidFill>
              <w14:schemeClr w14:val="tx1"/>
            </w14:solidFill>
          </w14:textFill>
        </w:rPr>
      </w:pPr>
    </w:p>
    <w:p>
      <w:pPr>
        <w:spacing w:line="560" w:lineRule="exact"/>
        <w:jc w:val="center"/>
        <w:rPr>
          <w:rFonts w:hint="eastAsia" w:ascii="方正小标宋_GBK" w:eastAsia="方正小标宋_GBK"/>
          <w:bCs/>
          <w:color w:val="000000" w:themeColor="text1"/>
          <w:sz w:val="44"/>
          <w:szCs w:val="44"/>
          <w14:textFill>
            <w14:solidFill>
              <w14:schemeClr w14:val="tx1"/>
            </w14:solidFill>
          </w14:textFill>
        </w:rPr>
      </w:pPr>
      <w:r>
        <w:rPr>
          <w:rFonts w:hint="eastAsia" w:ascii="方正小标宋_GBK" w:eastAsia="方正小标宋_GBK"/>
          <w:bCs/>
          <w:color w:val="000000" w:themeColor="text1"/>
          <w:sz w:val="44"/>
          <w:szCs w:val="44"/>
          <w:lang w:eastAsia="zh-CN"/>
          <w14:textFill>
            <w14:solidFill>
              <w14:schemeClr w14:val="tx1"/>
            </w14:solidFill>
          </w14:textFill>
        </w:rPr>
        <w:t>关于</w:t>
      </w:r>
      <w:r>
        <w:rPr>
          <w:rFonts w:hint="eastAsia" w:ascii="方正小标宋_GBK" w:eastAsia="方正小标宋_GBK"/>
          <w:bCs/>
          <w:color w:val="000000" w:themeColor="text1"/>
          <w:sz w:val="44"/>
          <w:szCs w:val="44"/>
          <w14:textFill>
            <w14:solidFill>
              <w14:schemeClr w14:val="tx1"/>
            </w14:solidFill>
          </w14:textFill>
        </w:rPr>
        <w:t>《深圳市社会办医疗机构行业信用评价</w:t>
      </w:r>
    </w:p>
    <w:p>
      <w:pPr>
        <w:spacing w:line="560" w:lineRule="exact"/>
        <w:jc w:val="center"/>
        <w:rPr>
          <w:rFonts w:ascii="方正小标宋_GBK" w:eastAsia="方正小标宋_GBK"/>
          <w:bCs/>
          <w:color w:val="000000" w:themeColor="text1"/>
          <w:sz w:val="44"/>
          <w:szCs w:val="44"/>
          <w14:textFill>
            <w14:solidFill>
              <w14:schemeClr w14:val="tx1"/>
            </w14:solidFill>
          </w14:textFill>
        </w:rPr>
      </w:pPr>
      <w:r>
        <w:rPr>
          <w:rFonts w:hint="eastAsia" w:ascii="方正小标宋_GBK" w:eastAsia="方正小标宋_GBK"/>
          <w:bCs/>
          <w:color w:val="000000" w:themeColor="text1"/>
          <w:sz w:val="44"/>
          <w:szCs w:val="44"/>
          <w14:textFill>
            <w14:solidFill>
              <w14:schemeClr w14:val="tx1"/>
            </w14:solidFill>
          </w14:textFill>
        </w:rPr>
        <w:t>管理办法</w:t>
      </w:r>
      <w:r>
        <w:rPr>
          <w:rFonts w:hint="eastAsia" w:ascii="方正小标宋_GBK" w:eastAsia="方正小标宋_GBK"/>
          <w:bCs/>
          <w:color w:val="000000" w:themeColor="text1"/>
          <w:sz w:val="44"/>
          <w:szCs w:val="44"/>
          <w:lang w:eastAsia="zh-CN"/>
          <w14:textFill>
            <w14:solidFill>
              <w14:schemeClr w14:val="tx1"/>
            </w14:solidFill>
          </w14:textFill>
        </w:rPr>
        <w:t>（试行）</w:t>
      </w:r>
      <w:r>
        <w:rPr>
          <w:rFonts w:hint="eastAsia" w:ascii="方正小标宋_GBK" w:eastAsia="方正小标宋_GBK"/>
          <w:bCs/>
          <w:color w:val="000000" w:themeColor="text1"/>
          <w:sz w:val="44"/>
          <w:szCs w:val="44"/>
          <w14:textFill>
            <w14:solidFill>
              <w14:schemeClr w14:val="tx1"/>
            </w14:solidFill>
          </w14:textFill>
        </w:rPr>
        <w:t>（</w:t>
      </w:r>
      <w:r>
        <w:rPr>
          <w:rFonts w:hint="eastAsia" w:ascii="方正小标宋_GBK" w:eastAsia="方正小标宋_GBK"/>
          <w:bCs/>
          <w:color w:val="000000" w:themeColor="text1"/>
          <w:sz w:val="44"/>
          <w:szCs w:val="44"/>
          <w:lang w:val="en-US" w:eastAsia="zh-CN"/>
          <w14:textFill>
            <w14:solidFill>
              <w14:schemeClr w14:val="tx1"/>
            </w14:solidFill>
          </w14:textFill>
        </w:rPr>
        <w:t>征求意见稿</w:t>
      </w:r>
      <w:r>
        <w:rPr>
          <w:rFonts w:hint="eastAsia" w:ascii="方正小标宋_GBK" w:eastAsia="方正小标宋_GBK"/>
          <w:bCs/>
          <w:color w:val="000000" w:themeColor="text1"/>
          <w:sz w:val="44"/>
          <w:szCs w:val="44"/>
          <w14:textFill>
            <w14:solidFill>
              <w14:schemeClr w14:val="tx1"/>
            </w14:solidFill>
          </w14:textFill>
        </w:rPr>
        <w:t>）》</w:t>
      </w:r>
      <w:r>
        <w:rPr>
          <w:rFonts w:hint="eastAsia" w:ascii="方正小标宋_GBK" w:eastAsia="方正小标宋_GBK"/>
          <w:bCs/>
          <w:color w:val="000000" w:themeColor="text1"/>
          <w:sz w:val="44"/>
          <w:szCs w:val="44"/>
          <w:lang w:eastAsia="zh-CN"/>
          <w14:textFill>
            <w14:solidFill>
              <w14:schemeClr w14:val="tx1"/>
            </w14:solidFill>
          </w14:textFill>
        </w:rPr>
        <w:t>的</w:t>
      </w:r>
      <w:r>
        <w:rPr>
          <w:rFonts w:hint="eastAsia" w:ascii="方正小标宋_GBK" w:eastAsia="方正小标宋_GBK"/>
          <w:bCs/>
          <w:color w:val="000000" w:themeColor="text1"/>
          <w:sz w:val="44"/>
          <w:szCs w:val="44"/>
          <w:lang w:val="en-US" w:eastAsia="zh-CN"/>
          <w14:textFill>
            <w14:solidFill>
              <w14:schemeClr w14:val="tx1"/>
            </w14:solidFill>
          </w14:textFill>
        </w:rPr>
        <w:t>起草</w:t>
      </w:r>
      <w:r>
        <w:rPr>
          <w:rFonts w:hint="eastAsia" w:ascii="方正小标宋_GBK" w:eastAsia="方正小标宋_GBK"/>
          <w:bCs/>
          <w:color w:val="000000" w:themeColor="text1"/>
          <w:sz w:val="44"/>
          <w:szCs w:val="44"/>
          <w14:textFill>
            <w14:solidFill>
              <w14:schemeClr w14:val="tx1"/>
            </w14:solidFill>
          </w14:textFill>
        </w:rPr>
        <w:t>说明</w:t>
      </w:r>
    </w:p>
    <w:p>
      <w:pPr>
        <w:spacing w:line="560" w:lineRule="exact"/>
        <w:ind w:firstLine="0"/>
        <w:jc w:val="center"/>
        <w:rPr>
          <w:rFonts w:hint="eastAsia" w:ascii="仿宋_GB2312" w:hAnsi="宋体" w:eastAsia="仿宋_GB2312" w:cs="宋体"/>
          <w:bCs w:val="0"/>
          <w:color w:val="000000" w:themeColor="text1"/>
          <w:kern w:val="0"/>
          <w:sz w:val="32"/>
          <w:szCs w:val="32"/>
          <w:lang w:eastAsia="zh-CN"/>
          <w14:textFill>
            <w14:solidFill>
              <w14:schemeClr w14:val="tx1"/>
            </w14:solidFill>
          </w14:textFill>
        </w:rPr>
      </w:pPr>
      <w:bookmarkStart w:id="0" w:name="_GoBack"/>
      <w:bookmarkEnd w:id="0"/>
    </w:p>
    <w:p>
      <w:pPr>
        <w:keepNext w:val="0"/>
        <w:keepLines w:val="0"/>
        <w:pageBreakBefore w:val="0"/>
        <w:widowControl w:val="0"/>
        <w:kinsoku/>
        <w:wordWrap/>
        <w:overflowPunct/>
        <w:topLinePunct w:val="0"/>
        <w:autoSpaceDE/>
        <w:autoSpaceDN/>
        <w:bidi w:val="0"/>
        <w:snapToGrid/>
        <w:spacing w:line="580" w:lineRule="exact"/>
        <w:ind w:firstLine="648"/>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为全面贯彻党的二十大和二十届三中全会精神，落实《中共中央办公厅 国务院办公厅关于推进社会信用体系建设高质量发展促进形成新发展格局的意见》的决策部署，加强医疗卫生领域信用体系建设，引导规范</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社会办</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医疗机构发展，实现“信用为本”“信用有用”，我委起草了《深圳市社会办医疗机构行业信用评价管理办法</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（试行）</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征求意见</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稿）》（以下简称《办法》</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。现将有关情况说明如下：</w:t>
      </w:r>
    </w:p>
    <w:p>
      <w:pPr>
        <w:keepNext w:val="0"/>
        <w:keepLines w:val="0"/>
        <w:pageBreakBefore w:val="0"/>
        <w:widowControl w:val="0"/>
        <w:numPr>
          <w:ilvl w:val="0"/>
          <w:numId w:val="0"/>
        </w:numPr>
        <w:kinsoku/>
        <w:wordWrap/>
        <w:overflowPunct/>
        <w:topLinePunct w:val="0"/>
        <w:autoSpaceDE/>
        <w:autoSpaceDN/>
        <w:bidi w:val="0"/>
        <w:snapToGrid/>
        <w:spacing w:line="580" w:lineRule="exact"/>
        <w:ind w:left="630" w:leftChars="0" w:firstLineChars="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一、起草必要性</w:t>
      </w:r>
    </w:p>
    <w:p>
      <w:pPr>
        <w:keepNext w:val="0"/>
        <w:keepLines w:val="0"/>
        <w:pageBreakBefore w:val="0"/>
        <w:widowControl w:val="0"/>
        <w:kinsoku/>
        <w:wordWrap/>
        <w:overflowPunct/>
        <w:topLinePunct w:val="0"/>
        <w:autoSpaceDE/>
        <w:autoSpaceDN/>
        <w:bidi w:val="0"/>
        <w:snapToGrid/>
        <w:spacing w:line="580" w:lineRule="exact"/>
        <w:ind w:firstLine="648"/>
        <w:rPr>
          <w:rFonts w:hint="default" w:ascii="楷体_GB2312" w:hAnsi="楷体" w:eastAsia="楷体_GB2312"/>
          <w:bCs/>
          <w:color w:val="000000" w:themeColor="text1"/>
          <w:kern w:val="0"/>
          <w:sz w:val="32"/>
          <w:szCs w:val="32"/>
          <w:lang w:val="en-US" w:eastAsia="zh-CN"/>
          <w14:textFill>
            <w14:solidFill>
              <w14:schemeClr w14:val="tx1"/>
            </w14:solidFill>
          </w14:textFill>
        </w:rPr>
      </w:pPr>
      <w:r>
        <w:rPr>
          <w:rFonts w:hint="eastAsia" w:ascii="楷体_GB2312" w:hAnsi="楷体" w:eastAsia="楷体_GB2312"/>
          <w:bCs/>
          <w:color w:val="000000" w:themeColor="text1"/>
          <w:kern w:val="0"/>
          <w:sz w:val="32"/>
          <w:szCs w:val="32"/>
          <w:lang w:val="en-US" w:eastAsia="zh-CN"/>
          <w14:textFill>
            <w14:solidFill>
              <w14:schemeClr w14:val="tx1"/>
            </w14:solidFill>
          </w14:textFill>
        </w:rPr>
        <w:t>（一）</w:t>
      </w:r>
      <w:r>
        <w:rPr>
          <w:rFonts w:hint="default" w:ascii="楷体_GB2312" w:hAnsi="楷体" w:eastAsia="楷体_GB2312"/>
          <w:bCs/>
          <w:color w:val="000000" w:themeColor="text1"/>
          <w:kern w:val="0"/>
          <w:sz w:val="32"/>
          <w:szCs w:val="32"/>
          <w:lang w:val="en-US" w:eastAsia="zh-CN"/>
          <w14:textFill>
            <w14:solidFill>
              <w14:schemeClr w14:val="tx1"/>
            </w14:solidFill>
          </w14:textFill>
        </w:rPr>
        <w:t>推进社会信用体系建设</w:t>
      </w:r>
      <w:r>
        <w:rPr>
          <w:rFonts w:hint="eastAsia" w:ascii="楷体_GB2312" w:hAnsi="楷体" w:eastAsia="楷体_GB2312"/>
          <w:bCs/>
          <w:color w:val="000000" w:themeColor="text1"/>
          <w:kern w:val="0"/>
          <w:sz w:val="32"/>
          <w:szCs w:val="32"/>
          <w:lang w:val="en-US" w:eastAsia="zh-CN"/>
          <w14:textFill>
            <w14:solidFill>
              <w14:schemeClr w14:val="tx1"/>
            </w14:solidFill>
          </w14:textFill>
        </w:rPr>
        <w:t>高质量发展</w:t>
      </w:r>
      <w:r>
        <w:rPr>
          <w:rFonts w:hint="default" w:ascii="楷体_GB2312" w:hAnsi="楷体" w:eastAsia="楷体_GB2312"/>
          <w:bCs/>
          <w:color w:val="000000" w:themeColor="text1"/>
          <w:kern w:val="0"/>
          <w:sz w:val="32"/>
          <w:szCs w:val="32"/>
          <w:lang w:val="en-US" w:eastAsia="zh-CN"/>
          <w14:textFill>
            <w14:solidFill>
              <w14:schemeClr w14:val="tx1"/>
            </w14:solidFill>
          </w14:textFill>
        </w:rPr>
        <w:t>的需要。</w:t>
      </w:r>
    </w:p>
    <w:p>
      <w:pPr>
        <w:keepNext w:val="0"/>
        <w:keepLines w:val="0"/>
        <w:pageBreakBefore w:val="0"/>
        <w:widowControl w:val="0"/>
        <w:kinsoku/>
        <w:wordWrap/>
        <w:overflowPunct/>
        <w:topLinePunct w:val="0"/>
        <w:autoSpaceDE/>
        <w:autoSpaceDN/>
        <w:bidi w:val="0"/>
        <w:snapToGrid/>
        <w:spacing w:line="580" w:lineRule="exact"/>
        <w:ind w:firstLine="648"/>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t>党的二十大报告强调</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w:t>
      </w:r>
      <w:r>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t>完善产权保护、市场准入、公平竞争、社会信用等市场经济基础制度</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w:t>
      </w:r>
      <w:r>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t>。《中共中央</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 xml:space="preserve"> </w:t>
      </w:r>
      <w:r>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t>国务院关于支持深圳建设中国特色社会主义先行示范区的意见》明确深圳要</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w:t>
      </w:r>
      <w:r>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t>推行信用监管改革，促进各类市场主体守法诚信经营</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w:t>
      </w:r>
      <w:r>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t>加强社会信用体系建设</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w:t>
      </w:r>
      <w:r>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t>。</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《中共中央办公厅 国务院办公厅关于推进社会信用体系建设高质量发展促进形成新发展格局的意见》要求“加快健全以信用为基础的新型监管机制”，并提出要全面建立企业信用状况综合评价体系，以信用风险为导向优化配置监管资源，在食品药品、工程建设、招标投标、安全生产、消防安全、医疗卫生、生态环保、价格、统计、财政性资金使用等重点领域推进信用分级分类监管，提升监管精准性和有效性。为全面落实中共中央、国务院关于社会信用体系建设的决策部署，有必要制定《办法》，创新医疗卫生监管信用理念、信用制度、信用手段，更好发挥信用体系在支撑政府职能转变、优化资源配置、防范化解风险、营造公平诚信社会环境的重要作用。</w:t>
      </w:r>
    </w:p>
    <w:p>
      <w:pPr>
        <w:keepNext w:val="0"/>
        <w:keepLines w:val="0"/>
        <w:pageBreakBefore w:val="0"/>
        <w:widowControl w:val="0"/>
        <w:kinsoku/>
        <w:wordWrap/>
        <w:overflowPunct/>
        <w:topLinePunct w:val="0"/>
        <w:autoSpaceDE/>
        <w:autoSpaceDN/>
        <w:bidi w:val="0"/>
        <w:snapToGrid/>
        <w:spacing w:line="580" w:lineRule="exact"/>
        <w:ind w:firstLine="648"/>
        <w:rPr>
          <w:rFonts w:hint="default" w:ascii="楷体_GB2312" w:hAnsi="楷体" w:eastAsia="楷体_GB2312"/>
          <w:bCs/>
          <w:color w:val="000000" w:themeColor="text1"/>
          <w:kern w:val="0"/>
          <w:sz w:val="32"/>
          <w:szCs w:val="32"/>
          <w:lang w:val="en-US" w:eastAsia="zh-CN"/>
          <w14:textFill>
            <w14:solidFill>
              <w14:schemeClr w14:val="tx1"/>
            </w14:solidFill>
          </w14:textFill>
        </w:rPr>
      </w:pPr>
      <w:r>
        <w:rPr>
          <w:rFonts w:hint="eastAsia" w:ascii="楷体_GB2312" w:hAnsi="楷体" w:eastAsia="楷体_GB2312"/>
          <w:bCs/>
          <w:color w:val="000000" w:themeColor="text1"/>
          <w:kern w:val="0"/>
          <w:sz w:val="32"/>
          <w:szCs w:val="32"/>
          <w:lang w:val="en-US" w:eastAsia="zh-CN"/>
          <w14:textFill>
            <w14:solidFill>
              <w14:schemeClr w14:val="tx1"/>
            </w14:solidFill>
          </w14:textFill>
        </w:rPr>
        <w:t>（二）促进社会办医疗机构持续健康发展的需要。</w:t>
      </w:r>
    </w:p>
    <w:p>
      <w:pPr>
        <w:keepNext w:val="0"/>
        <w:keepLines w:val="0"/>
        <w:pageBreakBefore w:val="0"/>
        <w:widowControl w:val="0"/>
        <w:kinsoku/>
        <w:wordWrap/>
        <w:overflowPunct/>
        <w:topLinePunct w:val="0"/>
        <w:autoSpaceDE/>
        <w:autoSpaceDN/>
        <w:bidi w:val="0"/>
        <w:snapToGrid/>
        <w:spacing w:line="580" w:lineRule="exact"/>
        <w:ind w:firstLine="648"/>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深圳市是民间资本最活跃、</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社会办</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经济最发达、</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社会办</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企业最集中的城市之一。社会办医是重要的</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社会办</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经济形式，</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截至2025年3月31日，我市医疗机构6580家，其中5486家为社会办医疗机构，占比83.4%。</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根据有关数据显示，我市社会办医诚信执业意识有待加强；对外谋求发展缺乏具有公信力的信用背书；粤港澳大湾区医学科技合作对信用要素等提出了更高要求。二十届三中全会《</w:t>
      </w:r>
      <w:r>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t>决定</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》明确指出“引导规范</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社会办</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医院发展。创新医疗卫生监管手段”。《中共中央 国务院关于促进</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社会办</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经济发展壮大的意见》对如何促进</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社会办</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经济做大做优做强</w:t>
      </w:r>
      <w:r>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t>作出全面部署</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，提出“发挥信用激励机制作用”“完善信用约束机制”。为更好激发社会办医的内生动力和创新活力，有必要制定《办法》，以信用法治化为保障，以信用标准化为引领，以信用长效化为重点，有效破除制约</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社会办</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医疗机构公平参与市场竞争的障碍，支持社会办医健康有序规范发展壮大。</w:t>
      </w:r>
    </w:p>
    <w:p>
      <w:pPr>
        <w:keepNext w:val="0"/>
        <w:keepLines w:val="0"/>
        <w:pageBreakBefore w:val="0"/>
        <w:widowControl w:val="0"/>
        <w:kinsoku/>
        <w:wordWrap/>
        <w:overflowPunct/>
        <w:topLinePunct w:val="0"/>
        <w:autoSpaceDE/>
        <w:autoSpaceDN/>
        <w:bidi w:val="0"/>
        <w:snapToGrid/>
        <w:spacing w:line="580" w:lineRule="exact"/>
        <w:ind w:firstLine="648"/>
        <w:rPr>
          <w:rFonts w:hint="eastAsia" w:ascii="楷体_GB2312" w:hAnsi="楷体" w:eastAsia="楷体_GB2312"/>
          <w:bCs/>
          <w:color w:val="000000" w:themeColor="text1"/>
          <w:kern w:val="0"/>
          <w:sz w:val="32"/>
          <w:szCs w:val="32"/>
          <w:lang w:val="en-US" w:eastAsia="zh-CN"/>
          <w14:textFill>
            <w14:solidFill>
              <w14:schemeClr w14:val="tx1"/>
            </w14:solidFill>
          </w14:textFill>
        </w:rPr>
      </w:pPr>
      <w:r>
        <w:rPr>
          <w:rFonts w:hint="eastAsia" w:ascii="楷体_GB2312" w:hAnsi="楷体" w:eastAsia="楷体_GB2312"/>
          <w:bCs/>
          <w:color w:val="000000" w:themeColor="text1"/>
          <w:kern w:val="0"/>
          <w:sz w:val="32"/>
          <w:szCs w:val="32"/>
          <w:lang w:val="en-US" w:eastAsia="zh-CN"/>
          <w14:textFill>
            <w14:solidFill>
              <w14:schemeClr w14:val="tx1"/>
            </w14:solidFill>
          </w14:textFill>
        </w:rPr>
        <w:t>（三）开展医疗卫生信用监管创新试点工作的需要。</w:t>
      </w:r>
    </w:p>
    <w:p>
      <w:pPr>
        <w:pStyle w:val="2"/>
        <w:keepNext w:val="0"/>
        <w:keepLines w:val="0"/>
        <w:pageBreakBefore w:val="0"/>
        <w:widowControl w:val="0"/>
        <w:numPr>
          <w:ilvl w:val="0"/>
          <w:numId w:val="0"/>
        </w:numPr>
        <w:kinsoku/>
        <w:wordWrap/>
        <w:overflowPunct/>
        <w:topLinePunct w:val="0"/>
        <w:autoSpaceDE/>
        <w:autoSpaceDN/>
        <w:bidi w:val="0"/>
        <w:snapToGrid/>
        <w:spacing w:line="580" w:lineRule="exact"/>
        <w:ind w:firstLine="640" w:firstLineChars="200"/>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按照国家持续优化营商环境和社会信用体系建设决策部署，上海、浙江、江苏、山东等多地已</w:t>
      </w:r>
      <w:r>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t>在</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医疗卫生信用</w:t>
      </w:r>
      <w:r>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t>管理方面积极开展探索和实践，推动构建起政府主导、社会共治、影响广泛的</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医疗卫生</w:t>
      </w:r>
      <w:r>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t>信用环境。</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广东省卫生健康委亦于2022年5月出台《广东省卫生健康委医疗卫生信用信息管理办法（试行）》（粤卫规〔2022〕4号，以下简称省信用办法），有效填补了医疗卫生信用监管规范空白，但评价方式、评价标准、评价规则及评价结果应用等方面有待进一步完善和细化。2023年3月起开始施行的《深圳经济特区社会信用条例》明确规定市公共信用机构可以对信用主体的信用状况进行公共信用综合评价，公共管理和服务机构可以对信用主体进行本行业、本领域的公共信用专项评价。“十四五”期间，我市已在住建、水务、环保、医保等20余个领域积极开展行业信用评价工作，</w:t>
      </w:r>
      <w:r>
        <w:rPr>
          <w:rStyle w:val="10"/>
          <w:rFonts w:hint="eastAsia" w:ascii="仿宋_GB2312" w:hAnsi="仿宋_GB2312" w:eastAsia="仿宋_GB2312" w:cs="仿宋_GB2312"/>
          <w:b w:val="0"/>
          <w:color w:val="000000"/>
          <w:sz w:val="32"/>
          <w:szCs w:val="32"/>
          <w:shd w:val="clear" w:color="auto" w:fill="FFFFFF"/>
          <w:lang w:val="en-US" w:eastAsia="zh-CN"/>
        </w:rPr>
        <w:t>大部分均采用量化评分式综合评价方法，</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加强事中事后监管，与“双随机、一公开”结合进行差异化监管，同时推动联合奖惩工作，覆盖行政审批、表彰奖励、财政性资金扶持、公共资源交易、监督检查、评优评先和人员招录等领域运用。</w:t>
      </w:r>
    </w:p>
    <w:p>
      <w:pPr>
        <w:pStyle w:val="2"/>
        <w:keepNext w:val="0"/>
        <w:keepLines w:val="0"/>
        <w:pageBreakBefore w:val="0"/>
        <w:widowControl w:val="0"/>
        <w:numPr>
          <w:ilvl w:val="0"/>
          <w:numId w:val="0"/>
        </w:numPr>
        <w:kinsoku/>
        <w:wordWrap/>
        <w:overflowPunct/>
        <w:topLinePunct w:val="0"/>
        <w:autoSpaceDE/>
        <w:autoSpaceDN/>
        <w:bidi w:val="0"/>
        <w:snapToGrid/>
        <w:spacing w:line="580" w:lineRule="exact"/>
        <w:ind w:firstLine="640" w:firstLineChars="200"/>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经请示，省疾病控制局同意我市根据《深圳经济特区社会信用条例》有关规定，结合我市社会办医实际，开展社会办医疗机构信用监管创新试点工作并出台社会办医疗机构行业信用评价管理规范。</w:t>
      </w:r>
    </w:p>
    <w:p>
      <w:pPr>
        <w:keepNext w:val="0"/>
        <w:keepLines w:val="0"/>
        <w:pageBreakBefore w:val="0"/>
        <w:widowControl w:val="0"/>
        <w:numPr>
          <w:ilvl w:val="0"/>
          <w:numId w:val="0"/>
        </w:numPr>
        <w:kinsoku/>
        <w:wordWrap/>
        <w:overflowPunct/>
        <w:topLinePunct w:val="0"/>
        <w:autoSpaceDE/>
        <w:autoSpaceDN/>
        <w:bidi w:val="0"/>
        <w:snapToGrid/>
        <w:spacing w:line="580" w:lineRule="exact"/>
        <w:ind w:left="630" w:leftChars="0" w:firstLineChars="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二、起草过程</w:t>
      </w:r>
    </w:p>
    <w:p>
      <w:pPr>
        <w:keepNext w:val="0"/>
        <w:keepLines w:val="0"/>
        <w:pageBreakBefore w:val="0"/>
        <w:widowControl w:val="0"/>
        <w:kinsoku/>
        <w:wordWrap/>
        <w:overflowPunct/>
        <w:topLinePunct w:val="0"/>
        <w:autoSpaceDE/>
        <w:autoSpaceDN/>
        <w:bidi w:val="0"/>
        <w:snapToGrid/>
        <w:spacing w:line="580" w:lineRule="exact"/>
        <w:ind w:firstLine="648"/>
        <w:rPr>
          <w:rFonts w:hint="default" w:ascii="方正仿宋_GB2312" w:hAnsi="方正仿宋_GB2312" w:eastAsia="方正仿宋_GB2312" w:cs="方正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（一）形成《办法》讨论稿。</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在全面研究国家、广东省和我市关于社会信用体系建设的决策部署基础上，根据《广东省社会信用条例》《深圳经济特区社会信用条例》《广东省卫生健康委医疗卫生信用信息管理办法（试行）》等规定，通过广泛查阅国内先进做法经验、组织专题调研、赴</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外市</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交流考察等多种形式，结合我市医疗卫生监管实际，形成《办法》讨论稿。</w:t>
      </w:r>
    </w:p>
    <w:p>
      <w:pPr>
        <w:keepNext w:val="0"/>
        <w:keepLines w:val="0"/>
        <w:pageBreakBefore w:val="0"/>
        <w:widowControl w:val="0"/>
        <w:kinsoku/>
        <w:wordWrap/>
        <w:overflowPunct/>
        <w:topLinePunct w:val="0"/>
        <w:autoSpaceDE/>
        <w:autoSpaceDN/>
        <w:bidi w:val="0"/>
        <w:snapToGrid/>
        <w:spacing w:line="580" w:lineRule="exact"/>
        <w:ind w:firstLine="648"/>
        <w:rPr>
          <w:rFonts w:hint="eastAsia"/>
          <w:lang w:eastAsia="zh-CN"/>
        </w:rPr>
      </w:pPr>
      <w:r>
        <w:rPr>
          <w:rFonts w:hint="eastAsia" w:ascii="楷体_GB2312" w:hAnsi="楷体_GB2312" w:eastAsia="楷体_GB2312" w:cs="楷体_GB2312"/>
          <w:color w:val="auto"/>
          <w:sz w:val="32"/>
          <w:szCs w:val="32"/>
          <w:lang w:val="en-US" w:eastAsia="zh-CN"/>
        </w:rPr>
        <w:t>（二）形成《办法》征求意见稿。</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书面征求</w:t>
      </w:r>
      <w:r>
        <w:rPr>
          <w:rFonts w:hint="eastAsia" w:ascii="仿宋_GB2312" w:eastAsia="仿宋_GB2312"/>
          <w:color w:val="000000" w:themeColor="text1"/>
          <w:sz w:val="32"/>
          <w:szCs w:val="32"/>
          <w:lang w:val="en-US" w:eastAsia="zh-CN"/>
          <w14:textFill>
            <w14:solidFill>
              <w14:schemeClr w14:val="tx1"/>
            </w14:solidFill>
          </w14:textFill>
        </w:rPr>
        <w:t>相关部门、各区卫生健康部门、各社会办医疗卫生机构</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意见，</w:t>
      </w:r>
      <w:r>
        <w:rPr>
          <w:rFonts w:hint="eastAsia" w:ascii="仿宋_GB2312" w:eastAsia="仿宋_GB2312"/>
          <w:color w:val="000000" w:themeColor="text1"/>
          <w:sz w:val="32"/>
          <w:szCs w:val="32"/>
          <w:lang w:val="en-US" w:eastAsia="zh-CN"/>
          <w14:textFill>
            <w14:solidFill>
              <w14:schemeClr w14:val="tx1"/>
            </w14:solidFill>
          </w14:textFill>
        </w:rPr>
        <w:t>并通过我委门户网站向社会公开征求意见。对征集的</w:t>
      </w:r>
      <w:r>
        <w:rPr>
          <w:rFonts w:hint="eastAsia" w:ascii="仿宋_GB2312" w:eastAsia="仿宋_GB2312"/>
          <w:color w:val="000000" w:themeColor="text1"/>
          <w:sz w:val="32"/>
          <w:szCs w:val="32"/>
          <w14:textFill>
            <w14:solidFill>
              <w14:schemeClr w14:val="tx1"/>
            </w14:solidFill>
          </w14:textFill>
        </w:rPr>
        <w:t>意见和建议，</w:t>
      </w:r>
      <w:r>
        <w:rPr>
          <w:rFonts w:hint="eastAsia" w:ascii="仿宋_GB2312" w:eastAsia="仿宋_GB2312"/>
          <w:color w:val="000000" w:themeColor="text1"/>
          <w:sz w:val="32"/>
          <w:szCs w:val="32"/>
          <w:lang w:eastAsia="zh-CN"/>
          <w14:textFill>
            <w14:solidFill>
              <w14:schemeClr w14:val="tx1"/>
            </w14:solidFill>
          </w14:textFill>
        </w:rPr>
        <w:t>充分进行讨论和研究</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修改完善形成《办法》</w:t>
      </w:r>
      <w:r>
        <w:rPr>
          <w:rFonts w:hint="default" w:ascii="仿宋_GB2312" w:eastAsia="仿宋_GB2312" w:cstheme="minorBidi"/>
          <w:color w:val="000000" w:themeColor="text1"/>
          <w:kern w:val="2"/>
          <w:sz w:val="32"/>
          <w:szCs w:val="32"/>
          <w:lang w:val="en-US" w:eastAsia="zh-CN" w:bidi="ar-SA"/>
          <w14:textFill>
            <w14:solidFill>
              <w14:schemeClr w14:val="tx1"/>
            </w14:solidFill>
          </w14:textFill>
        </w:rPr>
        <w:t>征求意见稿</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snapToGrid/>
        <w:spacing w:line="580" w:lineRule="exact"/>
        <w:ind w:left="630" w:leftChars="0" w:firstLineChars="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三、主要内容和制度创新</w:t>
      </w:r>
    </w:p>
    <w:p>
      <w:pPr>
        <w:pStyle w:val="2"/>
        <w:keepNext w:val="0"/>
        <w:keepLines w:val="0"/>
        <w:pageBreakBefore w:val="0"/>
        <w:widowControl w:val="0"/>
        <w:numPr>
          <w:ilvl w:val="0"/>
          <w:numId w:val="0"/>
        </w:numPr>
        <w:kinsoku/>
        <w:wordWrap/>
        <w:overflowPunct/>
        <w:topLinePunct w:val="0"/>
        <w:autoSpaceDE/>
        <w:autoSpaceDN/>
        <w:bidi w:val="0"/>
        <w:snapToGrid/>
        <w:spacing w:line="580" w:lineRule="exact"/>
        <w:ind w:firstLine="640" w:firstLineChars="20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（一）总体概述。</w:t>
      </w:r>
    </w:p>
    <w:p>
      <w:pPr>
        <w:pStyle w:val="2"/>
        <w:keepNext w:val="0"/>
        <w:keepLines w:val="0"/>
        <w:pageBreakBefore w:val="0"/>
        <w:widowControl w:val="0"/>
        <w:numPr>
          <w:ilvl w:val="0"/>
          <w:numId w:val="0"/>
        </w:numPr>
        <w:kinsoku/>
        <w:wordWrap/>
        <w:overflowPunct/>
        <w:topLinePunct w:val="0"/>
        <w:autoSpaceDE/>
        <w:autoSpaceDN/>
        <w:bidi w:val="0"/>
        <w:snapToGrid/>
        <w:spacing w:line="580" w:lineRule="exact"/>
        <w:ind w:firstLine="640" w:firstLineChars="200"/>
        <w:rPr>
          <w:rFonts w:hint="eastAsia" w:ascii="楷体_GB2312" w:hAnsi="楷体_GB2312" w:eastAsia="楷体_GB2312" w:cs="楷体_GB2312"/>
          <w:color w:val="auto"/>
          <w:sz w:val="32"/>
          <w:szCs w:val="32"/>
          <w:lang w:val="en-US" w:eastAsia="zh-CN"/>
        </w:rPr>
      </w:pP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《办法》共设六章三十六条，主要包括总则、信用信息采集、信用评价、结果应用、异议处理和信用修复。《办法》旨在建设社会办医疗机构行业信用综合评价体系，</w:t>
      </w:r>
      <w:r>
        <w:rPr>
          <w:rFonts w:hint="eastAsia" w:ascii="仿宋_GB2312" w:eastAsia="仿宋_GB2312" w:hAnsiTheme="minorHAnsi" w:cstheme="minorBidi"/>
          <w:b/>
          <w:bCs/>
          <w:color w:val="000000" w:themeColor="text1"/>
          <w:kern w:val="2"/>
          <w:sz w:val="32"/>
          <w:szCs w:val="32"/>
          <w:lang w:val="en-US" w:eastAsia="zh-CN" w:bidi="ar-SA"/>
          <w14:textFill>
            <w14:solidFill>
              <w14:schemeClr w14:val="tx1"/>
            </w14:solidFill>
          </w14:textFill>
        </w:rPr>
        <w:t>一是</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用于卫生健康行政部门开展社会办医疗机构行业信用评价。</w:t>
      </w:r>
      <w:r>
        <w:rPr>
          <w:rFonts w:hint="eastAsia" w:ascii="仿宋_GB2312" w:eastAsia="仿宋_GB2312" w:hAnsiTheme="minorHAnsi" w:cstheme="minorBidi"/>
          <w:b/>
          <w:bCs/>
          <w:color w:val="000000" w:themeColor="text1"/>
          <w:kern w:val="2"/>
          <w:sz w:val="32"/>
          <w:szCs w:val="32"/>
          <w:lang w:val="en-US" w:eastAsia="zh-CN" w:bidi="ar-SA"/>
          <w14:textFill>
            <w14:solidFill>
              <w14:schemeClr w14:val="tx1"/>
            </w14:solidFill>
          </w14:textFill>
        </w:rPr>
        <w:t>二是</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供</w:t>
      </w:r>
      <w:r>
        <w:rPr>
          <w:rFonts w:hint="eastAsia" w:ascii="仿宋_GB2312" w:hAnsi="仿宋_GB2312" w:eastAsia="仿宋_GB2312" w:cs="仿宋_GB2312"/>
          <w:sz w:val="32"/>
          <w:szCs w:val="32"/>
          <w:shd w:val="clear" w:color="auto" w:fill="FFFFFF"/>
          <w:lang w:val="en-US" w:eastAsia="zh-CN"/>
        </w:rPr>
        <w:t>行业协会商会、第三方机构等其他机构开展信用评价活动提供参考。</w:t>
      </w:r>
      <w:r>
        <w:rPr>
          <w:rFonts w:hint="eastAsia" w:ascii="仿宋_GB2312" w:hAnsi="仿宋_GB2312" w:eastAsia="仿宋_GB2312" w:cs="仿宋_GB2312"/>
          <w:b/>
          <w:bCs/>
          <w:sz w:val="32"/>
          <w:szCs w:val="32"/>
          <w:shd w:val="clear" w:color="auto" w:fill="FFFFFF"/>
          <w:lang w:val="en-US" w:eastAsia="zh-CN"/>
        </w:rPr>
        <w:t>三是</w:t>
      </w:r>
      <w:r>
        <w:rPr>
          <w:rFonts w:hint="eastAsia" w:ascii="仿宋_GB2312" w:hAnsi="仿宋_GB2312" w:eastAsia="仿宋_GB2312" w:cs="仿宋_GB2312"/>
          <w:sz w:val="32"/>
          <w:szCs w:val="32"/>
          <w:shd w:val="clear" w:color="auto" w:fill="FFFFFF"/>
          <w:lang w:val="en-US" w:eastAsia="zh-CN"/>
        </w:rPr>
        <w:t>信用评价结果依法依规、适时适度共享给信用管理主管部门、政务数据主管部门和其他相关职能部门，促进不同部门、不同行业间信用评价结果的互认与共享。</w:t>
      </w:r>
      <w:r>
        <w:rPr>
          <w:rFonts w:hint="eastAsia" w:ascii="仿宋_GB2312" w:hAnsi="仿宋_GB2312" w:eastAsia="仿宋_GB2312" w:cs="仿宋_GB2312"/>
          <w:b/>
          <w:bCs/>
          <w:sz w:val="32"/>
          <w:szCs w:val="32"/>
          <w:shd w:val="clear" w:color="auto" w:fill="FFFFFF"/>
          <w:lang w:val="en-US" w:eastAsia="zh-CN"/>
        </w:rPr>
        <w:t>四是</w:t>
      </w:r>
      <w:r>
        <w:rPr>
          <w:rFonts w:hint="eastAsia" w:ascii="仿宋_GB2312" w:hAnsi="仿宋_GB2312" w:eastAsia="仿宋_GB2312" w:cs="仿宋_GB2312"/>
          <w:sz w:val="32"/>
          <w:szCs w:val="32"/>
          <w:shd w:val="clear" w:color="auto" w:fill="FFFFFF"/>
          <w:lang w:val="en-US" w:eastAsia="zh-CN"/>
        </w:rPr>
        <w:t>健全社会办医疗机构增信制度建设，为社会办医疗机构向外谋求发展、交流合作提供直观有效的参考依据。</w:t>
      </w:r>
    </w:p>
    <w:p>
      <w:pPr>
        <w:pStyle w:val="2"/>
        <w:keepNext w:val="0"/>
        <w:keepLines w:val="0"/>
        <w:pageBreakBefore w:val="0"/>
        <w:widowControl w:val="0"/>
        <w:numPr>
          <w:ilvl w:val="0"/>
          <w:numId w:val="0"/>
        </w:numPr>
        <w:kinsoku/>
        <w:wordWrap/>
        <w:overflowPunct/>
        <w:topLinePunct w:val="0"/>
        <w:autoSpaceDE/>
        <w:autoSpaceDN/>
        <w:bidi w:val="0"/>
        <w:snapToGrid/>
        <w:spacing w:line="580" w:lineRule="exact"/>
        <w:ind w:firstLine="640" w:firstLineChars="20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（二）适用范围。</w:t>
      </w:r>
    </w:p>
    <w:p>
      <w:pPr>
        <w:pStyle w:val="2"/>
        <w:keepNext w:val="0"/>
        <w:keepLines w:val="0"/>
        <w:pageBreakBefore w:val="0"/>
        <w:widowControl w:val="0"/>
        <w:numPr>
          <w:ilvl w:val="0"/>
          <w:numId w:val="0"/>
        </w:numPr>
        <w:kinsoku/>
        <w:wordWrap/>
        <w:overflowPunct/>
        <w:topLinePunct w:val="0"/>
        <w:autoSpaceDE/>
        <w:autoSpaceDN/>
        <w:bidi w:val="0"/>
        <w:snapToGrid/>
        <w:spacing w:line="580" w:lineRule="exact"/>
        <w:ind w:firstLine="640" w:firstLineChars="200"/>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二十届三中全会《</w:t>
      </w:r>
      <w:r>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t>决定</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指出，“完善国有企业分类考核评价体系”“加快建立社会办企业信用状况综合评价体系，健全社会办中小企业增信制度”。《深圳经济特区医疗条例》第四十三条规定，卫生健康部门应当建立以医疗质量和安全、学科发展、运营效率、满意度等为主要指标体系的公立医疗机构绩效考核制度。根据上述国家政策和特区法规的有关精神与要求，对公立医疗机构建立以公益性为导向的绩效考核综合评价体系，对社会办医疗机构建立以规范发展为导向的信用监管综合评价体系，故明确《办法》适用于我市</w:t>
      </w:r>
      <w:r>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t>行政区域内社会办医疗机构行业信用</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评价工作</w:t>
      </w:r>
      <w:r>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t>。</w:t>
      </w:r>
    </w:p>
    <w:p>
      <w:pPr>
        <w:pStyle w:val="2"/>
        <w:keepNext w:val="0"/>
        <w:keepLines w:val="0"/>
        <w:pageBreakBefore w:val="0"/>
        <w:widowControl w:val="0"/>
        <w:numPr>
          <w:ilvl w:val="0"/>
          <w:numId w:val="0"/>
        </w:numPr>
        <w:kinsoku/>
        <w:wordWrap/>
        <w:overflowPunct/>
        <w:topLinePunct w:val="0"/>
        <w:autoSpaceDE/>
        <w:autoSpaceDN/>
        <w:bidi w:val="0"/>
        <w:snapToGrid/>
        <w:spacing w:line="580" w:lineRule="exact"/>
        <w:ind w:firstLine="640" w:firstLineChars="20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（二）职责分工。</w:t>
      </w:r>
    </w:p>
    <w:p>
      <w:pPr>
        <w:pStyle w:val="2"/>
        <w:keepNext w:val="0"/>
        <w:keepLines w:val="0"/>
        <w:pageBreakBefore w:val="0"/>
        <w:widowControl w:val="0"/>
        <w:numPr>
          <w:ilvl w:val="0"/>
          <w:numId w:val="0"/>
        </w:numPr>
        <w:kinsoku/>
        <w:wordWrap/>
        <w:overflowPunct/>
        <w:topLinePunct w:val="0"/>
        <w:autoSpaceDE/>
        <w:autoSpaceDN/>
        <w:bidi w:val="0"/>
        <w:snapToGrid/>
        <w:spacing w:line="580" w:lineRule="exact"/>
        <w:ind w:firstLine="640" w:firstLineChars="200"/>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《办法》明确了</w:t>
      </w:r>
      <w:r>
        <w:rPr>
          <w:rFonts w:hint="default" w:ascii="仿宋_GB2312" w:hAnsi="仿宋_GB2312" w:eastAsia="仿宋_GB2312" w:cs="仿宋_GB2312"/>
          <w:sz w:val="32"/>
          <w:szCs w:val="32"/>
          <w:shd w:val="clear" w:color="auto" w:fill="FFFFFF"/>
          <w:lang w:val="en-US" w:eastAsia="zh-CN"/>
        </w:rPr>
        <w:t>市</w:t>
      </w:r>
      <w:r>
        <w:rPr>
          <w:rFonts w:hint="eastAsia" w:ascii="仿宋_GB2312" w:hAnsi="仿宋_GB2312" w:eastAsia="仿宋_GB2312" w:cs="仿宋_GB2312"/>
          <w:sz w:val="32"/>
          <w:szCs w:val="32"/>
          <w:shd w:val="clear" w:color="auto" w:fill="FFFFFF"/>
          <w:lang w:val="en-US" w:eastAsia="zh-CN"/>
        </w:rPr>
        <w:t>、区两级</w:t>
      </w:r>
      <w:r>
        <w:rPr>
          <w:rFonts w:hint="default" w:ascii="仿宋_GB2312" w:hAnsi="仿宋_GB2312" w:eastAsia="仿宋_GB2312" w:cs="仿宋_GB2312"/>
          <w:sz w:val="32"/>
          <w:szCs w:val="32"/>
          <w:shd w:val="clear" w:color="auto" w:fill="FFFFFF"/>
          <w:lang w:val="en-US" w:eastAsia="zh-CN"/>
        </w:rPr>
        <w:t>卫生健康行政部门</w:t>
      </w:r>
      <w:r>
        <w:rPr>
          <w:rFonts w:hint="eastAsia" w:ascii="仿宋_GB2312" w:hAnsi="仿宋_GB2312" w:eastAsia="仿宋_GB2312" w:cs="仿宋_GB2312"/>
          <w:sz w:val="32"/>
          <w:szCs w:val="32"/>
          <w:shd w:val="clear" w:color="auto" w:fill="FFFFFF"/>
          <w:lang w:val="en-US" w:eastAsia="zh-CN"/>
        </w:rPr>
        <w:t>开展</w:t>
      </w:r>
      <w:r>
        <w:rPr>
          <w:rFonts w:hint="default" w:ascii="仿宋_GB2312" w:hAnsi="仿宋_GB2312" w:eastAsia="仿宋_GB2312" w:cs="仿宋_GB2312"/>
          <w:sz w:val="32"/>
          <w:szCs w:val="32"/>
          <w:shd w:val="clear" w:color="auto" w:fill="FFFFFF"/>
          <w:lang w:val="en-US" w:eastAsia="zh-CN"/>
        </w:rPr>
        <w:t>行业信用评价</w:t>
      </w:r>
      <w:r>
        <w:rPr>
          <w:rFonts w:hint="eastAsia" w:ascii="仿宋_GB2312" w:hAnsi="仿宋_GB2312" w:eastAsia="仿宋_GB2312" w:cs="仿宋_GB2312"/>
          <w:sz w:val="32"/>
          <w:szCs w:val="32"/>
          <w:shd w:val="clear" w:color="auto" w:fill="FFFFFF"/>
          <w:lang w:val="en-US" w:eastAsia="zh-CN"/>
        </w:rPr>
        <w:t>管理的职责分工。</w:t>
      </w:r>
      <w:r>
        <w:rPr>
          <w:rFonts w:hint="default" w:ascii="仿宋_GB2312" w:hAnsi="仿宋_GB2312" w:eastAsia="仿宋_GB2312" w:cs="仿宋_GB2312"/>
          <w:sz w:val="32"/>
          <w:szCs w:val="32"/>
          <w:shd w:val="clear" w:color="auto" w:fill="FFFFFF"/>
          <w:lang w:val="en-US" w:eastAsia="zh-CN"/>
        </w:rPr>
        <w:t>市卫生健康行政部门负责统筹、指导、评估</w:t>
      </w:r>
      <w:r>
        <w:rPr>
          <w:rFonts w:hint="eastAsia" w:ascii="仿宋_GB2312" w:hAnsi="仿宋_GB2312" w:eastAsia="仿宋_GB2312" w:cs="仿宋_GB2312"/>
          <w:sz w:val="32"/>
          <w:szCs w:val="32"/>
          <w:shd w:val="clear" w:color="auto" w:fill="FFFFFF"/>
          <w:lang w:val="en-US" w:eastAsia="zh-CN"/>
        </w:rPr>
        <w:t>我</w:t>
      </w:r>
      <w:r>
        <w:rPr>
          <w:rFonts w:hint="default" w:ascii="仿宋_GB2312" w:hAnsi="仿宋_GB2312" w:eastAsia="仿宋_GB2312" w:cs="仿宋_GB2312"/>
          <w:sz w:val="32"/>
          <w:szCs w:val="32"/>
          <w:shd w:val="clear" w:color="auto" w:fill="FFFFFF"/>
          <w:lang w:val="en-US" w:eastAsia="zh-CN"/>
        </w:rPr>
        <w:t>市医疗机构行业信用评价管理工作，建立健全行业信用治理体系，制定完善相关制度标准规范，在职责范围内组织开展行业信用评价，推动行业信用评价结果应用</w:t>
      </w:r>
      <w:r>
        <w:rPr>
          <w:rFonts w:hint="eastAsia" w:ascii="仿宋_GB2312" w:hAnsi="仿宋_GB2312" w:eastAsia="仿宋_GB2312" w:cs="仿宋_GB2312"/>
          <w:sz w:val="32"/>
          <w:szCs w:val="32"/>
          <w:shd w:val="clear" w:color="auto" w:fill="FFFFFF"/>
          <w:lang w:val="en-US" w:eastAsia="zh-CN"/>
        </w:rPr>
        <w:t>。</w:t>
      </w:r>
      <w:r>
        <w:rPr>
          <w:rFonts w:hint="default" w:ascii="仿宋_GB2312" w:hAnsi="仿宋_GB2312" w:eastAsia="仿宋_GB2312" w:cs="仿宋_GB2312"/>
          <w:sz w:val="32"/>
          <w:szCs w:val="32"/>
          <w:shd w:val="clear" w:color="auto" w:fill="FFFFFF"/>
          <w:lang w:val="en-US" w:eastAsia="zh-CN"/>
        </w:rPr>
        <w:t>各区卫生健康行政部门负责管辖区域内医疗机构行业信用评价管理工作，对所管辖医疗机构组织开展行业信用评价，落实行业信用评价结果应用。</w:t>
      </w:r>
    </w:p>
    <w:p>
      <w:pPr>
        <w:pStyle w:val="2"/>
        <w:keepNext w:val="0"/>
        <w:keepLines w:val="0"/>
        <w:pageBreakBefore w:val="0"/>
        <w:widowControl w:val="0"/>
        <w:numPr>
          <w:ilvl w:val="0"/>
          <w:numId w:val="0"/>
        </w:numPr>
        <w:kinsoku/>
        <w:wordWrap/>
        <w:overflowPunct/>
        <w:topLinePunct w:val="0"/>
        <w:autoSpaceDE/>
        <w:autoSpaceDN/>
        <w:bidi w:val="0"/>
        <w:snapToGrid/>
        <w:spacing w:line="580" w:lineRule="exact"/>
        <w:ind w:firstLine="640" w:firstLineChars="20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（三）信用信息分类。</w:t>
      </w:r>
    </w:p>
    <w:p>
      <w:pPr>
        <w:pStyle w:val="2"/>
        <w:keepNext w:val="0"/>
        <w:keepLines w:val="0"/>
        <w:pageBreakBefore w:val="0"/>
        <w:widowControl w:val="0"/>
        <w:numPr>
          <w:ilvl w:val="0"/>
          <w:numId w:val="0"/>
        </w:numPr>
        <w:kinsoku/>
        <w:wordWrap/>
        <w:overflowPunct/>
        <w:topLinePunct w:val="0"/>
        <w:autoSpaceDE/>
        <w:autoSpaceDN/>
        <w:bidi w:val="0"/>
        <w:snapToGrid/>
        <w:spacing w:line="58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《办法》规范了</w:t>
      </w:r>
      <w:r>
        <w:rPr>
          <w:rFonts w:hint="eastAsia" w:ascii="仿宋_GB2312" w:hAnsi="仿宋_GB2312" w:eastAsia="仿宋_GB2312" w:cs="仿宋_GB2312"/>
          <w:sz w:val="32"/>
          <w:szCs w:val="32"/>
          <w:shd w:val="clear" w:color="auto" w:fill="FFFFFF"/>
        </w:rPr>
        <w:t>医疗机构</w:t>
      </w:r>
      <w:r>
        <w:rPr>
          <w:rFonts w:hint="eastAsia" w:ascii="仿宋_GB2312" w:hAnsi="仿宋_GB2312" w:eastAsia="仿宋_GB2312" w:cs="仿宋_GB2312"/>
          <w:sz w:val="32"/>
          <w:szCs w:val="32"/>
          <w:shd w:val="clear" w:color="auto" w:fill="FFFFFF"/>
          <w:lang w:eastAsia="zh-CN"/>
        </w:rPr>
        <w:t>行业</w:t>
      </w:r>
      <w:r>
        <w:rPr>
          <w:rFonts w:hint="eastAsia" w:ascii="仿宋_GB2312" w:hAnsi="仿宋_GB2312" w:eastAsia="仿宋_GB2312" w:cs="仿宋_GB2312"/>
          <w:sz w:val="32"/>
          <w:szCs w:val="32"/>
          <w:shd w:val="clear" w:color="auto" w:fill="FFFFFF"/>
        </w:rPr>
        <w:t>信用</w:t>
      </w:r>
      <w:r>
        <w:rPr>
          <w:rFonts w:hint="eastAsia" w:ascii="仿宋_GB2312" w:hAnsi="仿宋_GB2312" w:eastAsia="仿宋_GB2312" w:cs="仿宋_GB2312"/>
          <w:sz w:val="32"/>
          <w:szCs w:val="32"/>
          <w:shd w:val="clear" w:color="auto" w:fill="FFFFFF"/>
          <w:lang w:eastAsia="zh-CN"/>
        </w:rPr>
        <w:t>信息</w:t>
      </w:r>
      <w:r>
        <w:rPr>
          <w:rFonts w:hint="eastAsia" w:ascii="仿宋_GB2312" w:hAnsi="仿宋_GB2312" w:eastAsia="仿宋_GB2312" w:cs="仿宋_GB2312"/>
          <w:sz w:val="32"/>
          <w:szCs w:val="32"/>
          <w:shd w:val="clear" w:color="auto" w:fill="FFFFFF"/>
          <w:lang w:val="en-US" w:eastAsia="zh-CN"/>
        </w:rPr>
        <w:t>的种类与定义。</w:t>
      </w:r>
      <w:r>
        <w:rPr>
          <w:rFonts w:hint="eastAsia" w:ascii="仿宋_GB2312" w:hAnsi="仿宋_GB2312" w:eastAsia="仿宋_GB2312" w:cs="仿宋_GB2312"/>
          <w:sz w:val="32"/>
          <w:szCs w:val="32"/>
          <w:shd w:val="clear" w:color="auto" w:fill="FFFFFF"/>
        </w:rPr>
        <w:t>医疗机构</w:t>
      </w:r>
      <w:r>
        <w:rPr>
          <w:rFonts w:hint="eastAsia" w:ascii="仿宋_GB2312" w:hAnsi="仿宋_GB2312" w:eastAsia="仿宋_GB2312" w:cs="仿宋_GB2312"/>
          <w:sz w:val="32"/>
          <w:szCs w:val="32"/>
          <w:shd w:val="clear" w:color="auto" w:fill="FFFFFF"/>
          <w:lang w:eastAsia="zh-CN"/>
        </w:rPr>
        <w:t>行业</w:t>
      </w:r>
      <w:r>
        <w:rPr>
          <w:rFonts w:hint="eastAsia" w:ascii="仿宋_GB2312" w:hAnsi="仿宋_GB2312" w:eastAsia="仿宋_GB2312" w:cs="仿宋_GB2312"/>
          <w:sz w:val="32"/>
          <w:szCs w:val="32"/>
          <w:shd w:val="clear" w:color="auto" w:fill="FFFFFF"/>
        </w:rPr>
        <w:t>信用</w:t>
      </w:r>
      <w:r>
        <w:rPr>
          <w:rFonts w:hint="eastAsia" w:ascii="仿宋_GB2312" w:hAnsi="仿宋_GB2312" w:eastAsia="仿宋_GB2312" w:cs="仿宋_GB2312"/>
          <w:sz w:val="32"/>
          <w:szCs w:val="32"/>
          <w:shd w:val="clear" w:color="auto" w:fill="FFFFFF"/>
          <w:lang w:eastAsia="zh-CN"/>
        </w:rPr>
        <w:t>信息</w:t>
      </w:r>
      <w:r>
        <w:rPr>
          <w:rFonts w:hint="eastAsia" w:ascii="仿宋_GB2312" w:hAnsi="仿宋_GB2312" w:eastAsia="仿宋_GB2312" w:cs="仿宋_GB2312"/>
          <w:sz w:val="32"/>
          <w:szCs w:val="32"/>
          <w:shd w:val="clear" w:color="auto" w:fill="FFFFFF"/>
          <w:lang w:val="en-US" w:eastAsia="zh-CN"/>
        </w:rPr>
        <w:t>分为</w:t>
      </w:r>
      <w:r>
        <w:rPr>
          <w:rFonts w:hint="eastAsia" w:ascii="仿宋_GB2312" w:hAnsi="仿宋_GB2312" w:eastAsia="仿宋_GB2312" w:cs="仿宋_GB2312"/>
          <w:sz w:val="32"/>
          <w:szCs w:val="32"/>
          <w:shd w:val="clear" w:color="auto" w:fill="FFFFFF"/>
        </w:rPr>
        <w:t>基础信息、</w:t>
      </w:r>
      <w:r>
        <w:rPr>
          <w:rFonts w:hint="eastAsia" w:ascii="仿宋_GB2312" w:hAnsi="仿宋_GB2312" w:eastAsia="仿宋_GB2312" w:cs="仿宋_GB2312"/>
          <w:sz w:val="32"/>
          <w:szCs w:val="32"/>
          <w:shd w:val="clear" w:color="auto" w:fill="FFFFFF"/>
          <w:lang w:val="en-US" w:eastAsia="zh-CN"/>
        </w:rPr>
        <w:t>增信</w:t>
      </w:r>
      <w:r>
        <w:rPr>
          <w:rFonts w:hint="eastAsia" w:ascii="仿宋_GB2312" w:hAnsi="仿宋_GB2312" w:eastAsia="仿宋_GB2312" w:cs="仿宋_GB2312"/>
          <w:sz w:val="32"/>
          <w:szCs w:val="32"/>
          <w:shd w:val="clear" w:color="auto" w:fill="FFFFFF"/>
        </w:rPr>
        <w:t>信息、</w:t>
      </w:r>
      <w:r>
        <w:rPr>
          <w:rFonts w:hint="eastAsia" w:ascii="仿宋_GB2312" w:hAnsi="仿宋_GB2312" w:eastAsia="仿宋_GB2312" w:cs="仿宋_GB2312"/>
          <w:sz w:val="32"/>
          <w:szCs w:val="32"/>
          <w:shd w:val="clear" w:color="auto" w:fill="FFFFFF"/>
          <w:lang w:eastAsia="zh-CN"/>
        </w:rPr>
        <w:t>不良</w:t>
      </w:r>
      <w:r>
        <w:rPr>
          <w:rFonts w:hint="eastAsia" w:ascii="仿宋_GB2312" w:hAnsi="仿宋_GB2312" w:eastAsia="仿宋_GB2312" w:cs="仿宋_GB2312"/>
          <w:sz w:val="32"/>
          <w:szCs w:val="32"/>
          <w:shd w:val="clear" w:color="auto" w:fill="FFFFFF"/>
        </w:rPr>
        <w:t>信息、失信信息和严重失信信息</w:t>
      </w:r>
      <w:r>
        <w:rPr>
          <w:rFonts w:hint="eastAsia" w:ascii="仿宋_GB2312" w:hAnsi="仿宋_GB2312" w:eastAsia="仿宋_GB2312" w:cs="仿宋_GB2312"/>
          <w:sz w:val="32"/>
          <w:szCs w:val="32"/>
          <w:shd w:val="clear" w:color="auto" w:fill="FFFFFF"/>
          <w:lang w:val="en-US" w:eastAsia="zh-CN"/>
        </w:rPr>
        <w:t>五类。</w:t>
      </w:r>
    </w:p>
    <w:p>
      <w:pPr>
        <w:pStyle w:val="2"/>
        <w:keepNext w:val="0"/>
        <w:keepLines w:val="0"/>
        <w:pageBreakBefore w:val="0"/>
        <w:widowControl w:val="0"/>
        <w:numPr>
          <w:ilvl w:val="0"/>
          <w:numId w:val="0"/>
        </w:numPr>
        <w:kinsoku/>
        <w:wordWrap/>
        <w:overflowPunct/>
        <w:topLinePunct w:val="0"/>
        <w:autoSpaceDE/>
        <w:autoSpaceDN/>
        <w:bidi w:val="0"/>
        <w:snapToGrid/>
        <w:spacing w:line="58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在细化省信用办法基础上，</w:t>
      </w:r>
      <w:r>
        <w:rPr>
          <w:rFonts w:hint="eastAsia" w:ascii="仿宋_GB2312" w:hAnsi="仿宋_GB2312" w:eastAsia="仿宋_GB2312" w:cs="仿宋_GB2312"/>
          <w:b/>
          <w:bCs/>
          <w:sz w:val="32"/>
          <w:szCs w:val="32"/>
          <w:shd w:val="clear" w:color="auto" w:fill="FFFFFF"/>
          <w:lang w:val="en-US" w:eastAsia="zh-CN"/>
        </w:rPr>
        <w:t>新增增信信息，</w:t>
      </w:r>
      <w:r>
        <w:rPr>
          <w:rFonts w:hint="eastAsia" w:ascii="仿宋_GB2312" w:hAnsi="仿宋_GB2312" w:eastAsia="仿宋_GB2312" w:cs="仿宋_GB2312"/>
          <w:sz w:val="32"/>
          <w:szCs w:val="32"/>
          <w:shd w:val="clear" w:color="auto" w:fill="FFFFFF"/>
          <w:lang w:val="en-US" w:eastAsia="zh-CN"/>
        </w:rPr>
        <w:t>如“获得发明专利”“获得实用新型专利”“发表学术论文”等创新成果信息，鼓励支持科技创新和成果转化，进一步健全覆盖创新、质量等要素的增信体系；“购买医疗责任保险或推广患者医疗意外保险”等防范医疗风险信息，鼓励医疗机构主动履责、主动担当，建立医疗风险分担和兜底机制，避免医患双方因经济利益纠纷直接对抗。</w:t>
      </w:r>
      <w:r>
        <w:rPr>
          <w:rFonts w:hint="eastAsia" w:ascii="仿宋_GB2312" w:hAnsi="仿宋_GB2312" w:eastAsia="仿宋_GB2312" w:cs="仿宋_GB2312"/>
          <w:b/>
          <w:bCs/>
          <w:sz w:val="32"/>
          <w:szCs w:val="32"/>
          <w:shd w:val="clear" w:color="auto" w:fill="FFFFFF"/>
          <w:lang w:val="en-US" w:eastAsia="zh-CN"/>
        </w:rPr>
        <w:t>新增不良信息，</w:t>
      </w:r>
      <w:r>
        <w:rPr>
          <w:rFonts w:hint="eastAsia" w:ascii="仿宋_GB2312" w:hAnsi="仿宋_GB2312" w:eastAsia="仿宋_GB2312" w:cs="仿宋_GB2312"/>
          <w:sz w:val="32"/>
          <w:szCs w:val="32"/>
          <w:shd w:val="clear" w:color="auto" w:fill="FFFFFF"/>
          <w:lang w:val="en-US" w:eastAsia="zh-CN"/>
        </w:rPr>
        <w:t>如医疗事故信息、医疗损害信息、安全生产不良记录等，明确了对医疗机构医疗质量和安全生产的管控力度。</w:t>
      </w:r>
      <w:r>
        <w:rPr>
          <w:rFonts w:hint="eastAsia" w:ascii="仿宋_GB2312" w:hAnsi="仿宋_GB2312" w:eastAsia="仿宋_GB2312" w:cs="仿宋_GB2312"/>
          <w:b/>
          <w:bCs/>
          <w:sz w:val="32"/>
          <w:szCs w:val="32"/>
          <w:shd w:val="clear" w:color="auto" w:fill="FFFFFF"/>
          <w:lang w:val="en-US" w:eastAsia="zh-CN"/>
        </w:rPr>
        <w:t>新增失信信息，</w:t>
      </w:r>
      <w:r>
        <w:rPr>
          <w:rFonts w:hint="eastAsia" w:ascii="仿宋_GB2312" w:hAnsi="仿宋_GB2312" w:eastAsia="仿宋_GB2312" w:cs="仿宋_GB2312"/>
          <w:b w:val="0"/>
          <w:bCs w:val="0"/>
          <w:sz w:val="32"/>
          <w:szCs w:val="32"/>
          <w:shd w:val="clear" w:color="auto" w:fill="FFFFFF"/>
          <w:lang w:val="en-US" w:eastAsia="zh-CN"/>
        </w:rPr>
        <w:t>如</w:t>
      </w:r>
      <w:r>
        <w:rPr>
          <w:rFonts w:hint="eastAsia" w:ascii="仿宋_GB2312" w:hAnsi="仿宋_GB2312" w:eastAsia="仿宋_GB2312" w:cs="仿宋_GB2312"/>
          <w:sz w:val="32"/>
          <w:szCs w:val="32"/>
          <w:shd w:val="clear" w:color="auto" w:fill="FFFFFF"/>
          <w:lang w:val="en-US" w:eastAsia="zh-CN"/>
        </w:rPr>
        <w:t>“拒不履行生效卫生行政处罚信息”，有效维护卫生行政执法的公信力和威慑力。</w:t>
      </w:r>
      <w:r>
        <w:rPr>
          <w:rFonts w:hint="eastAsia" w:ascii="仿宋_GB2312" w:hAnsi="仿宋_GB2312" w:eastAsia="仿宋_GB2312" w:cs="仿宋_GB2312"/>
          <w:b/>
          <w:bCs/>
          <w:sz w:val="32"/>
          <w:szCs w:val="32"/>
          <w:shd w:val="clear" w:color="auto" w:fill="FFFFFF"/>
          <w:lang w:val="en-US" w:eastAsia="zh-CN"/>
        </w:rPr>
        <w:t>新增严重失信信息，</w:t>
      </w:r>
      <w:r>
        <w:rPr>
          <w:rFonts w:hint="eastAsia" w:ascii="仿宋_GB2312" w:hAnsi="仿宋_GB2312" w:eastAsia="仿宋_GB2312" w:cs="仿宋_GB2312"/>
          <w:sz w:val="32"/>
          <w:szCs w:val="32"/>
          <w:shd w:val="clear" w:color="auto" w:fill="FFFFFF"/>
          <w:lang w:val="en-US" w:eastAsia="zh-CN"/>
        </w:rPr>
        <w:t>根据《深圳经济特区社会信用条例》有关规定，将“本市范围内实施的严重失信主体名单”列入严重失信信息范围。</w:t>
      </w:r>
    </w:p>
    <w:p>
      <w:pPr>
        <w:pStyle w:val="2"/>
        <w:keepNext w:val="0"/>
        <w:keepLines w:val="0"/>
        <w:pageBreakBefore w:val="0"/>
        <w:widowControl w:val="0"/>
        <w:numPr>
          <w:ilvl w:val="0"/>
          <w:numId w:val="0"/>
        </w:numPr>
        <w:kinsoku/>
        <w:wordWrap/>
        <w:overflowPunct/>
        <w:topLinePunct w:val="0"/>
        <w:autoSpaceDE/>
        <w:autoSpaceDN/>
        <w:bidi w:val="0"/>
        <w:snapToGrid/>
        <w:spacing w:line="580" w:lineRule="exact"/>
        <w:ind w:firstLine="640" w:firstLineChars="20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（四）信用评价。</w:t>
      </w:r>
    </w:p>
    <w:p>
      <w:pPr>
        <w:pStyle w:val="2"/>
        <w:keepNext w:val="0"/>
        <w:keepLines w:val="0"/>
        <w:pageBreakBefore w:val="0"/>
        <w:widowControl w:val="0"/>
        <w:numPr>
          <w:ilvl w:val="0"/>
          <w:numId w:val="0"/>
        </w:numPr>
        <w:kinsoku/>
        <w:wordWrap/>
        <w:overflowPunct/>
        <w:topLinePunct w:val="0"/>
        <w:autoSpaceDE/>
        <w:autoSpaceDN/>
        <w:bidi w:val="0"/>
        <w:snapToGrid/>
        <w:spacing w:line="58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《办法》规定社会办医疗机构行业信用评价采用量化评分制，赋予每个医疗机构基础分值100分，</w:t>
      </w:r>
      <w:r>
        <w:rPr>
          <w:rStyle w:val="10"/>
          <w:rFonts w:hint="eastAsia" w:ascii="仿宋_GB2312" w:hAnsi="仿宋_GB2312" w:eastAsia="仿宋_GB2312" w:cs="仿宋_GB2312"/>
          <w:b w:val="0"/>
          <w:color w:val="000000" w:themeColor="text1"/>
          <w:sz w:val="32"/>
          <w:szCs w:val="32"/>
          <w:shd w:val="clear" w:color="auto" w:fill="FFFFFF"/>
          <w14:textFill>
            <w14:solidFill>
              <w14:schemeClr w14:val="tx1"/>
            </w14:solidFill>
          </w14:textFill>
        </w:rPr>
        <w:t>根据信用评价标准</w:t>
      </w:r>
      <w:r>
        <w:rPr>
          <w:rStyle w:val="10"/>
          <w:rFonts w:hint="eastAsia" w:ascii="仿宋_GB2312" w:hAnsi="仿宋_GB2312" w:eastAsia="仿宋_GB2312" w:cs="仿宋_GB2312"/>
          <w:b w:val="0"/>
          <w:color w:val="000000" w:themeColor="text1"/>
          <w:sz w:val="32"/>
          <w:szCs w:val="32"/>
          <w:shd w:val="clear" w:color="auto" w:fill="FFFFFF"/>
          <w:lang w:eastAsia="zh-CN"/>
          <w14:textFill>
            <w14:solidFill>
              <w14:schemeClr w14:val="tx1"/>
            </w14:solidFill>
          </w14:textFill>
        </w:rPr>
        <w:t>对其</w:t>
      </w:r>
      <w:r>
        <w:rPr>
          <w:rStyle w:val="10"/>
          <w:rFonts w:hint="eastAsia" w:ascii="仿宋_GB2312" w:hAnsi="仿宋_GB2312" w:eastAsia="仿宋_GB2312" w:cs="仿宋_GB2312"/>
          <w:b w:val="0"/>
          <w:color w:val="000000" w:themeColor="text1"/>
          <w:sz w:val="32"/>
          <w:szCs w:val="32"/>
          <w:shd w:val="clear" w:color="auto" w:fill="FFFFFF"/>
          <w14:textFill>
            <w14:solidFill>
              <w14:schemeClr w14:val="tx1"/>
            </w14:solidFill>
          </w14:textFill>
        </w:rPr>
        <w:t>进行</w:t>
      </w:r>
      <w:r>
        <w:rPr>
          <w:rStyle w:val="10"/>
          <w:rFonts w:hint="eastAsia" w:ascii="仿宋_GB2312" w:hAnsi="仿宋_GB2312" w:eastAsia="仿宋_GB2312" w:cs="仿宋_GB2312"/>
          <w:b w:val="0"/>
          <w:color w:val="000000" w:themeColor="text1"/>
          <w:sz w:val="32"/>
          <w:szCs w:val="32"/>
          <w:shd w:val="clear" w:color="auto" w:fill="FFFFFF"/>
          <w:lang w:eastAsia="zh-CN"/>
          <w14:textFill>
            <w14:solidFill>
              <w14:schemeClr w14:val="tx1"/>
            </w14:solidFill>
          </w14:textFill>
        </w:rPr>
        <w:t>记分</w:t>
      </w:r>
      <w:r>
        <w:rPr>
          <w:rStyle w:val="10"/>
          <w:rFonts w:hint="eastAsia" w:ascii="仿宋_GB2312" w:hAnsi="仿宋_GB2312" w:eastAsia="仿宋_GB2312" w:cs="仿宋_GB2312"/>
          <w:b w:val="0"/>
          <w:color w:val="000000" w:themeColor="text1"/>
          <w:sz w:val="32"/>
          <w:szCs w:val="32"/>
          <w:shd w:val="clear" w:color="auto" w:fill="FFFFFF"/>
          <w14:textFill>
            <w14:solidFill>
              <w14:schemeClr w14:val="tx1"/>
            </w14:solidFill>
          </w14:textFill>
        </w:rPr>
        <w:t>后得</w:t>
      </w:r>
      <w:r>
        <w:rPr>
          <w:rStyle w:val="10"/>
          <w:rFonts w:hint="eastAsia" w:ascii="仿宋_GB2312" w:hAnsi="仿宋_GB2312" w:eastAsia="仿宋_GB2312" w:cs="仿宋_GB2312"/>
          <w:b w:val="0"/>
          <w:color w:val="000000" w:themeColor="text1"/>
          <w:sz w:val="32"/>
          <w:szCs w:val="32"/>
          <w:shd w:val="clear" w:color="auto" w:fill="FFFFFF"/>
          <w:lang w:eastAsia="zh-CN"/>
          <w14:textFill>
            <w14:solidFill>
              <w14:schemeClr w14:val="tx1"/>
            </w14:solidFill>
          </w14:textFill>
        </w:rPr>
        <w:t>出其</w:t>
      </w:r>
      <w:r>
        <w:rPr>
          <w:rStyle w:val="10"/>
          <w:rFonts w:hint="eastAsia" w:ascii="仿宋_GB2312" w:hAnsi="仿宋_GB2312" w:eastAsia="仿宋_GB2312" w:cs="仿宋_GB2312"/>
          <w:b w:val="0"/>
          <w:color w:val="000000" w:themeColor="text1"/>
          <w:sz w:val="32"/>
          <w:szCs w:val="32"/>
          <w:shd w:val="clear" w:color="auto" w:fill="FFFFFF"/>
          <w14:textFill>
            <w14:solidFill>
              <w14:schemeClr w14:val="tx1"/>
            </w14:solidFill>
          </w14:textFill>
        </w:rPr>
        <w:t>评价得分</w:t>
      </w:r>
      <w:r>
        <w:rPr>
          <w:rFonts w:hint="eastAsia" w:ascii="仿宋_GB2312" w:hAnsi="仿宋_GB2312" w:eastAsia="仿宋_GB2312" w:cs="仿宋_GB2312"/>
          <w:sz w:val="32"/>
          <w:szCs w:val="32"/>
          <w:shd w:val="clear" w:color="auto" w:fill="FFFFFF"/>
          <w:lang w:val="en-US" w:eastAsia="zh-CN"/>
        </w:rPr>
        <w:t>，从高到低分为A级（诚信）、B级（守信）、C级（警示）、D级（失信）四个级别，被依法列入全国、广东省或本市范围内实施的严重失信主体名单的医疗机构直接评定为E级（严重失信）。</w:t>
      </w:r>
    </w:p>
    <w:p>
      <w:pPr>
        <w:pStyle w:val="2"/>
        <w:keepNext w:val="0"/>
        <w:keepLines w:val="0"/>
        <w:pageBreakBefore w:val="0"/>
        <w:widowControl w:val="0"/>
        <w:numPr>
          <w:ilvl w:val="0"/>
          <w:numId w:val="0"/>
        </w:numPr>
        <w:kinsoku/>
        <w:wordWrap/>
        <w:overflowPunct/>
        <w:topLinePunct w:val="0"/>
        <w:autoSpaceDE/>
        <w:autoSpaceDN/>
        <w:bidi w:val="0"/>
        <w:snapToGrid/>
        <w:spacing w:line="580" w:lineRule="exact"/>
        <w:ind w:firstLine="640" w:firstLineChars="20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（五）评价标准。</w:t>
      </w:r>
    </w:p>
    <w:p>
      <w:pPr>
        <w:pStyle w:val="2"/>
        <w:keepNext w:val="0"/>
        <w:keepLines w:val="0"/>
        <w:pageBreakBefore w:val="0"/>
        <w:widowControl w:val="0"/>
        <w:numPr>
          <w:ilvl w:val="0"/>
          <w:numId w:val="0"/>
        </w:numPr>
        <w:kinsoku/>
        <w:wordWrap/>
        <w:overflowPunct/>
        <w:topLinePunct w:val="0"/>
        <w:autoSpaceDE/>
        <w:autoSpaceDN/>
        <w:bidi w:val="0"/>
        <w:snapToGrid/>
        <w:spacing w:line="58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按照医疗机构面向服务对象和医疗执业行为的不同，《办法》规定了分别针对</w:t>
      </w:r>
      <w:r>
        <w:rPr>
          <w:rFonts w:hint="eastAsia" w:ascii="仿宋_GB2312" w:hAnsi="仿宋_GB2312" w:eastAsia="仿宋_GB2312" w:cs="仿宋_GB2312"/>
          <w:b w:val="0"/>
          <w:bCs w:val="0"/>
          <w:sz w:val="32"/>
          <w:szCs w:val="32"/>
          <w:lang w:val="en-US" w:eastAsia="zh-CN"/>
        </w:rPr>
        <w:t>医学检验实验室和消毒供应中心、直接向患者提供医疗服务的医疗机构的</w:t>
      </w:r>
      <w:r>
        <w:rPr>
          <w:rFonts w:hint="eastAsia" w:ascii="仿宋_GB2312" w:hAnsi="仿宋_GB2312" w:eastAsia="仿宋_GB2312" w:cs="仿宋_GB2312"/>
          <w:sz w:val="32"/>
          <w:szCs w:val="32"/>
          <w:shd w:val="clear" w:color="auto" w:fill="FFFFFF"/>
          <w:lang w:val="en-US" w:eastAsia="zh-CN"/>
        </w:rPr>
        <w:t>两类信用评价标准</w:t>
      </w:r>
      <w:r>
        <w:rPr>
          <w:rStyle w:val="10"/>
          <w:rFonts w:hint="eastAsia" w:ascii="仿宋_GB2312" w:hAnsi="仿宋_GB2312" w:eastAsia="仿宋_GB2312" w:cs="仿宋_GB2312"/>
          <w:b w:val="0"/>
          <w:color w:val="000000"/>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有效保护和促进公平竞争。</w:t>
      </w:r>
    </w:p>
    <w:p>
      <w:pPr>
        <w:pStyle w:val="2"/>
        <w:keepNext w:val="0"/>
        <w:keepLines w:val="0"/>
        <w:pageBreakBefore w:val="0"/>
        <w:widowControl w:val="0"/>
        <w:numPr>
          <w:ilvl w:val="0"/>
          <w:numId w:val="0"/>
        </w:numPr>
        <w:kinsoku/>
        <w:wordWrap/>
        <w:overflowPunct/>
        <w:topLinePunct w:val="0"/>
        <w:autoSpaceDE/>
        <w:autoSpaceDN/>
        <w:bidi w:val="0"/>
        <w:snapToGrid/>
        <w:spacing w:line="580" w:lineRule="exact"/>
        <w:ind w:firstLine="640" w:firstLineChars="20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（六）评价规则。</w:t>
      </w:r>
    </w:p>
    <w:p>
      <w:pPr>
        <w:pStyle w:val="2"/>
        <w:keepNext w:val="0"/>
        <w:keepLines w:val="0"/>
        <w:pageBreakBefore w:val="0"/>
        <w:widowControl w:val="0"/>
        <w:numPr>
          <w:ilvl w:val="0"/>
          <w:numId w:val="0"/>
        </w:numPr>
        <w:kinsoku/>
        <w:wordWrap/>
        <w:overflowPunct/>
        <w:topLinePunct w:val="0"/>
        <w:autoSpaceDE/>
        <w:autoSpaceDN/>
        <w:bidi w:val="0"/>
        <w:snapToGrid/>
        <w:spacing w:line="580" w:lineRule="exact"/>
        <w:ind w:firstLine="642" w:firstLineChars="200"/>
        <w:rPr>
          <w:rFonts w:hint="eastAsia" w:ascii="仿宋_GB2312" w:hAnsi="仿宋_GB2312" w:eastAsia="仿宋_GB2312" w:cs="仿宋_GB2312"/>
          <w:sz w:val="32"/>
          <w:szCs w:val="32"/>
          <w:shd w:val="clear" w:color="auto" w:fill="FFFFFF"/>
          <w:lang w:val="en-US" w:eastAsia="zh-CN"/>
        </w:rPr>
      </w:pPr>
      <w:r>
        <w:rPr>
          <w:rFonts w:hint="eastAsia" w:ascii="仿宋_GB2312" w:eastAsia="仿宋_GB2312" w:hAnsiTheme="minorHAnsi" w:cstheme="minorBidi"/>
          <w:b/>
          <w:bCs/>
          <w:color w:val="000000" w:themeColor="text1"/>
          <w:kern w:val="2"/>
          <w:sz w:val="32"/>
          <w:szCs w:val="32"/>
          <w:lang w:val="en-US" w:eastAsia="zh-CN" w:bidi="ar-SA"/>
          <w14:textFill>
            <w14:solidFill>
              <w14:schemeClr w14:val="tx1"/>
            </w14:solidFill>
          </w14:textFill>
        </w:rPr>
        <w:t>一是</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为压实医疗机构主体责任，加强医疗卫生人员管理，新增</w:t>
      </w:r>
      <w:r>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t>医疗卫生人员因违反卫生相关法律法规产生的失信信息、严重失信信息纳入其发生违法违规行为所在医疗机构的信用评价。</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同时兼顾避免重复评价原则，特别规定医疗机构和医疗卫生人员因同一行为产生失信信息、严重失信信息的，医疗卫生人员的失信信息、严重失信信息不纳入医疗机构的信用评价。</w:t>
      </w:r>
      <w:r>
        <w:rPr>
          <w:rFonts w:hint="eastAsia" w:ascii="仿宋_GB2312" w:eastAsia="仿宋_GB2312" w:hAnsiTheme="minorHAnsi" w:cstheme="minorBidi"/>
          <w:b/>
          <w:bCs/>
          <w:color w:val="000000" w:themeColor="text1"/>
          <w:kern w:val="2"/>
          <w:sz w:val="32"/>
          <w:szCs w:val="32"/>
          <w:lang w:val="en-US" w:eastAsia="zh-CN" w:bidi="ar-SA"/>
          <w14:textFill>
            <w14:solidFill>
              <w14:schemeClr w14:val="tx1"/>
            </w14:solidFill>
          </w14:textFill>
        </w:rPr>
        <w:t>二是</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基于</w:t>
      </w:r>
      <w:r>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t>社区健康服务</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机构“</w:t>
      </w:r>
      <w:r>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t>院办院管</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”模式，规定</w:t>
      </w:r>
      <w:r>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t>对不具备法人资格的医疗机构进行信用评价，其信用信息同时纳入</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其</w:t>
      </w:r>
      <w:r>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t>举办医疗机构的信用评价。</w:t>
      </w:r>
      <w:r>
        <w:rPr>
          <w:rFonts w:hint="eastAsia" w:ascii="仿宋_GB2312" w:eastAsia="仿宋_GB2312" w:hAnsiTheme="minorHAnsi" w:cstheme="minorBidi"/>
          <w:b/>
          <w:bCs/>
          <w:color w:val="000000" w:themeColor="text1"/>
          <w:kern w:val="2"/>
          <w:sz w:val="32"/>
          <w:szCs w:val="32"/>
          <w:lang w:val="en-US" w:eastAsia="zh-CN" w:bidi="ar-SA"/>
          <w14:textFill>
            <w14:solidFill>
              <w14:schemeClr w14:val="tx1"/>
            </w14:solidFill>
          </w14:textFill>
        </w:rPr>
        <w:t>三是</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根据监管实际设置了豁免规定，新建运营未满一年且未产生失信信息、严重失信信息和因改建、扩建原因停业超过一年且在停业期间未产生失信信息、严重失信信息的医疗机构不参与信用评价。</w:t>
      </w:r>
    </w:p>
    <w:p>
      <w:pPr>
        <w:pStyle w:val="2"/>
        <w:keepNext w:val="0"/>
        <w:keepLines w:val="0"/>
        <w:pageBreakBefore w:val="0"/>
        <w:widowControl w:val="0"/>
        <w:numPr>
          <w:ilvl w:val="0"/>
          <w:numId w:val="0"/>
        </w:numPr>
        <w:kinsoku/>
        <w:wordWrap/>
        <w:overflowPunct/>
        <w:topLinePunct w:val="0"/>
        <w:autoSpaceDE/>
        <w:autoSpaceDN/>
        <w:bidi w:val="0"/>
        <w:snapToGrid/>
        <w:spacing w:line="580" w:lineRule="exact"/>
        <w:ind w:firstLine="640" w:firstLineChars="20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（七）结果运用。</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napToGrid/>
        <w:spacing w:before="0" w:beforeAutospacing="0" w:after="0" w:afterLines="0" w:afterAutospacing="0" w:line="572" w:lineRule="exact"/>
        <w:ind w:right="0" w:rightChars="0"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shd w:val="clear" w:color="auto" w:fill="FFFFFF"/>
          <w:lang w:val="en-US" w:eastAsia="zh-CN"/>
        </w:rPr>
        <w:t>《办法》规定信用评价结果依法依规运用于行政许可、财政投入、等级评审、评优评先、日常监管等行政管理和政务服务工作，采取相应的激励和约束措施。主要包括，</w:t>
      </w:r>
      <w:r>
        <w:rPr>
          <w:rFonts w:hint="eastAsia" w:ascii="仿宋_GB2312" w:hAnsi="仿宋_GB2312" w:eastAsia="仿宋_GB2312" w:cs="仿宋_GB2312"/>
          <w:b/>
          <w:bCs/>
          <w:sz w:val="32"/>
          <w:szCs w:val="32"/>
          <w:shd w:val="clear" w:color="auto" w:fill="FFFFFF"/>
          <w:lang w:val="en-US" w:eastAsia="zh-CN"/>
        </w:rPr>
        <w:t>一是与</w:t>
      </w:r>
      <w:r>
        <w:rPr>
          <w:rFonts w:hint="eastAsia" w:ascii="仿宋_GB2312" w:hAnsi="仿宋_GB2312" w:eastAsia="仿宋_GB2312" w:cs="仿宋_GB2312"/>
          <w:b w:val="0"/>
          <w:bCs w:val="0"/>
          <w:sz w:val="32"/>
          <w:szCs w:val="32"/>
          <w:shd w:val="clear" w:color="auto" w:fill="FFFFFF"/>
          <w:lang w:val="en-US" w:eastAsia="zh-CN"/>
        </w:rPr>
        <w:t>检查监督挂钩。对A级医疗机构实行“无事不扰”监督，对B级医疗机构按</w:t>
      </w:r>
      <w:r>
        <w:rPr>
          <w:rStyle w:val="10"/>
          <w:rFonts w:hint="eastAsia" w:ascii="仿宋_GB2312" w:hAnsi="仿宋_GB2312" w:eastAsia="仿宋_GB2312" w:cs="仿宋_GB2312"/>
          <w:b w:val="0"/>
          <w:color w:val="000000" w:themeColor="text1"/>
          <w:sz w:val="32"/>
          <w:szCs w:val="32"/>
          <w:shd w:val="clear" w:color="auto" w:fill="FFFFFF"/>
          <w:lang w:val="en" w:eastAsia="zh-CN"/>
          <w14:textFill>
            <w14:solidFill>
              <w14:schemeClr w14:val="tx1"/>
            </w14:solidFill>
          </w14:textFill>
        </w:rPr>
        <w:t>不高于</w:t>
      </w:r>
      <w:r>
        <w:rPr>
          <w:rStyle w:val="10"/>
          <w:rFonts w:hint="eastAsia" w:ascii="仿宋_GB2312" w:hAnsi="仿宋_GB2312" w:eastAsia="仿宋_GB2312" w:cs="仿宋_GB2312"/>
          <w:b w:val="0"/>
          <w:color w:val="000000" w:themeColor="text1"/>
          <w:sz w:val="32"/>
          <w:szCs w:val="32"/>
          <w:shd w:val="clear" w:color="auto" w:fill="FFFFFF"/>
          <w:lang w:val="en-US" w:eastAsia="zh-CN"/>
          <w14:textFill>
            <w14:solidFill>
              <w14:schemeClr w14:val="tx1"/>
            </w14:solidFill>
          </w14:textFill>
        </w:rPr>
        <w:t>5%的比例抽查，</w:t>
      </w:r>
      <w:r>
        <w:rPr>
          <w:rFonts w:hint="eastAsia" w:ascii="仿宋_GB2312" w:hAnsi="仿宋_GB2312" w:eastAsia="仿宋_GB2312" w:cs="仿宋_GB2312"/>
          <w:b w:val="0"/>
          <w:bCs w:val="0"/>
          <w:sz w:val="32"/>
          <w:szCs w:val="32"/>
          <w:shd w:val="clear" w:color="auto" w:fill="FFFFFF"/>
          <w:lang w:val="en-US" w:eastAsia="zh-CN"/>
        </w:rPr>
        <w:t>对C级医疗机构</w:t>
      </w:r>
      <w:r>
        <w:rPr>
          <w:rStyle w:val="10"/>
          <w:rFonts w:hint="eastAsia" w:ascii="仿宋_GB2312" w:hAnsi="仿宋_GB2312" w:eastAsia="仿宋_GB2312" w:cs="仿宋_GB2312"/>
          <w:b w:val="0"/>
          <w:color w:val="000000" w:themeColor="text1"/>
          <w:sz w:val="32"/>
          <w:szCs w:val="32"/>
          <w:shd w:val="clear" w:color="auto" w:fill="FFFFFF"/>
          <w:lang w:val="en" w:eastAsia="zh-CN"/>
          <w14:textFill>
            <w14:solidFill>
              <w14:schemeClr w14:val="tx1"/>
            </w14:solidFill>
          </w14:textFill>
        </w:rPr>
        <w:t>按不低于</w:t>
      </w:r>
      <w:r>
        <w:rPr>
          <w:rStyle w:val="10"/>
          <w:rFonts w:hint="eastAsia" w:ascii="仿宋_GB2312" w:hAnsi="仿宋_GB2312" w:eastAsia="仿宋_GB2312" w:cs="仿宋_GB2312"/>
          <w:b w:val="0"/>
          <w:color w:val="000000" w:themeColor="text1"/>
          <w:sz w:val="32"/>
          <w:szCs w:val="32"/>
          <w:shd w:val="clear" w:color="auto" w:fill="FFFFFF"/>
          <w:lang w:val="en-US" w:eastAsia="zh-CN"/>
          <w14:textFill>
            <w14:solidFill>
              <w14:schemeClr w14:val="tx1"/>
            </w14:solidFill>
          </w14:textFill>
        </w:rPr>
        <w:t>30%的比例抽查</w:t>
      </w:r>
      <w:r>
        <w:rPr>
          <w:rStyle w:val="10"/>
          <w:rFonts w:hint="eastAsia" w:ascii="仿宋_GB2312" w:hAnsi="仿宋_GB2312" w:eastAsia="仿宋_GB2312" w:cs="仿宋_GB2312"/>
          <w:b w:val="0"/>
          <w:bCs w:val="0"/>
          <w:color w:val="000000"/>
          <w:sz w:val="32"/>
          <w:szCs w:val="32"/>
          <w:shd w:val="clear" w:color="auto" w:fill="FFFFFF"/>
          <w:lang w:eastAsia="zh-CN"/>
        </w:rPr>
        <w:t>，</w:t>
      </w:r>
      <w:r>
        <w:rPr>
          <w:rFonts w:hint="eastAsia" w:ascii="仿宋_GB2312" w:hAnsi="仿宋_GB2312" w:eastAsia="仿宋_GB2312" w:cs="仿宋_GB2312"/>
          <w:b w:val="0"/>
          <w:bCs w:val="0"/>
          <w:sz w:val="32"/>
          <w:szCs w:val="32"/>
          <w:shd w:val="clear" w:color="auto" w:fill="FFFFFF"/>
          <w:lang w:val="en-US" w:eastAsia="zh-CN"/>
        </w:rPr>
        <w:t>对D级和E级医疗机构实行“逢检必查”监督。</w:t>
      </w:r>
      <w:r>
        <w:rPr>
          <w:rFonts w:hint="eastAsia" w:ascii="仿宋_GB2312" w:hAnsi="仿宋_GB2312" w:eastAsia="仿宋_GB2312" w:cs="仿宋_GB2312"/>
          <w:b/>
          <w:bCs/>
          <w:sz w:val="32"/>
          <w:szCs w:val="32"/>
          <w:shd w:val="clear" w:color="auto" w:fill="FFFFFF"/>
          <w:lang w:val="en-US" w:eastAsia="zh-CN"/>
        </w:rPr>
        <w:t>二是与</w:t>
      </w:r>
      <w:r>
        <w:rPr>
          <w:rFonts w:hint="eastAsia" w:ascii="仿宋_GB2312" w:hAnsi="仿宋_GB2312" w:eastAsia="仿宋_GB2312" w:cs="仿宋_GB2312"/>
          <w:b w:val="0"/>
          <w:bCs w:val="0"/>
          <w:sz w:val="32"/>
          <w:szCs w:val="32"/>
          <w:shd w:val="clear" w:color="auto" w:fill="FFFFFF"/>
          <w:lang w:val="en-US" w:eastAsia="zh-CN"/>
        </w:rPr>
        <w:t>行政许可挂钩。A级医疗机构</w:t>
      </w:r>
      <w:r>
        <w:rPr>
          <w:rStyle w:val="10"/>
          <w:rFonts w:hint="eastAsia" w:ascii="仿宋_GB2312" w:hAnsi="仿宋_GB2312" w:eastAsia="仿宋_GB2312" w:cs="仿宋_GB2312"/>
          <w:b w:val="0"/>
          <w:color w:val="000000" w:themeColor="text1"/>
          <w:sz w:val="32"/>
          <w:szCs w:val="32"/>
          <w:shd w:val="clear" w:color="auto" w:fill="FFFFFF"/>
          <w14:textFill>
            <w14:solidFill>
              <w14:schemeClr w14:val="tx1"/>
            </w14:solidFill>
          </w14:textFill>
        </w:rPr>
        <w:t>享受行政许可容缺受理</w:t>
      </w:r>
      <w:r>
        <w:rPr>
          <w:rStyle w:val="10"/>
          <w:rFonts w:hint="eastAsia" w:ascii="仿宋_GB2312" w:hAnsi="仿宋_GB2312" w:eastAsia="仿宋_GB2312" w:cs="仿宋_GB2312"/>
          <w:b w:val="0"/>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b w:val="0"/>
          <w:bCs w:val="0"/>
          <w:sz w:val="32"/>
          <w:szCs w:val="32"/>
          <w:shd w:val="clear" w:color="auto" w:fill="FFFFFF"/>
          <w:lang w:val="en-US" w:eastAsia="zh-CN"/>
        </w:rPr>
        <w:t>D级和E级医疗机构</w:t>
      </w:r>
      <w:r>
        <w:rPr>
          <w:rStyle w:val="10"/>
          <w:rFonts w:hint="eastAsia" w:ascii="仿宋_GB2312" w:hAnsi="仿宋_GB2312" w:eastAsia="仿宋_GB2312" w:cs="仿宋_GB2312"/>
          <w:b w:val="0"/>
          <w:color w:val="000000" w:themeColor="text1"/>
          <w:sz w:val="32"/>
          <w:szCs w:val="32"/>
          <w:shd w:val="clear" w:color="auto" w:fill="FFFFFF"/>
          <w:lang w:eastAsia="zh-CN"/>
          <w14:textFill>
            <w14:solidFill>
              <w14:schemeClr w14:val="tx1"/>
            </w14:solidFill>
          </w14:textFill>
        </w:rPr>
        <w:t>不适用信用承诺制办理行政许可。</w:t>
      </w:r>
      <w:r>
        <w:rPr>
          <w:rFonts w:hint="eastAsia" w:ascii="仿宋_GB2312" w:hAnsi="仿宋_GB2312" w:eastAsia="仿宋_GB2312" w:cs="仿宋_GB2312"/>
          <w:b/>
          <w:bCs/>
          <w:sz w:val="32"/>
          <w:szCs w:val="32"/>
          <w:shd w:val="clear" w:color="auto" w:fill="FFFFFF"/>
          <w:lang w:val="en-US" w:eastAsia="zh-CN"/>
        </w:rPr>
        <w:t>三是与</w:t>
      </w:r>
      <w:r>
        <w:rPr>
          <w:rFonts w:hint="eastAsia" w:ascii="仿宋_GB2312" w:hAnsi="仿宋_GB2312" w:eastAsia="仿宋_GB2312" w:cs="仿宋_GB2312"/>
          <w:b w:val="0"/>
          <w:bCs w:val="0"/>
          <w:sz w:val="32"/>
          <w:szCs w:val="32"/>
          <w:shd w:val="clear" w:color="auto" w:fill="FFFFFF"/>
          <w:lang w:val="en-US" w:eastAsia="zh-CN"/>
        </w:rPr>
        <w:t>等级评审挂钩。D级和E级医疗机构申请等级评（复）审的，不予受理。</w:t>
      </w:r>
      <w:r>
        <w:rPr>
          <w:rFonts w:hint="eastAsia" w:ascii="仿宋_GB2312" w:hAnsi="仿宋_GB2312" w:eastAsia="仿宋_GB2312" w:cs="仿宋_GB2312"/>
          <w:b/>
          <w:bCs/>
          <w:sz w:val="32"/>
          <w:szCs w:val="32"/>
          <w:shd w:val="clear" w:color="auto" w:fill="FFFFFF"/>
          <w:lang w:val="en-US" w:eastAsia="zh-CN"/>
        </w:rPr>
        <w:t>四是</w:t>
      </w:r>
      <w:r>
        <w:rPr>
          <w:rFonts w:hint="eastAsia" w:ascii="仿宋_GB2312" w:hAnsi="仿宋_GB2312" w:eastAsia="仿宋_GB2312" w:cs="仿宋_GB2312"/>
          <w:b w:val="0"/>
          <w:bCs w:val="0"/>
          <w:sz w:val="32"/>
          <w:szCs w:val="32"/>
          <w:shd w:val="clear" w:color="auto" w:fill="FFFFFF"/>
          <w:lang w:val="en-US" w:eastAsia="zh-CN"/>
        </w:rPr>
        <w:t>与校验审查挂钩。对D级和E级医疗机构校验审查时必须进行现场审查；对管理混乱，有严重事故隐患，可能直接影响医疗安全的E级医疗机构，责令限期整改并在限期整改期间应当依法予以暂缓校验。</w:t>
      </w:r>
      <w:r>
        <w:rPr>
          <w:rFonts w:hint="eastAsia" w:ascii="仿宋_GB2312" w:hAnsi="仿宋_GB2312" w:eastAsia="仿宋_GB2312" w:cs="仿宋_GB2312"/>
          <w:b/>
          <w:bCs/>
          <w:sz w:val="32"/>
          <w:szCs w:val="32"/>
          <w:shd w:val="clear" w:color="auto" w:fill="FFFFFF"/>
          <w:lang w:val="en-US" w:eastAsia="zh-CN"/>
        </w:rPr>
        <w:t>五是与</w:t>
      </w:r>
      <w:r>
        <w:rPr>
          <w:rFonts w:hint="eastAsia" w:ascii="仿宋_GB2312" w:hAnsi="仿宋_GB2312" w:eastAsia="仿宋_GB2312" w:cs="仿宋_GB2312"/>
          <w:b w:val="0"/>
          <w:bCs w:val="0"/>
          <w:sz w:val="32"/>
          <w:szCs w:val="32"/>
          <w:shd w:val="clear" w:color="auto" w:fill="FFFFFF"/>
          <w:lang w:val="en-US" w:eastAsia="zh-CN"/>
        </w:rPr>
        <w:t>行业管理挂钩。对C级医疗机构</w:t>
      </w:r>
      <w:r>
        <w:rPr>
          <w:rStyle w:val="10"/>
          <w:rFonts w:hint="eastAsia" w:ascii="仿宋_GB2312" w:hAnsi="仿宋_GB2312" w:eastAsia="仿宋_GB2312" w:cs="仿宋_GB2312"/>
          <w:b w:val="0"/>
          <w:bCs w:val="0"/>
          <w:color w:val="000000"/>
          <w:sz w:val="32"/>
          <w:szCs w:val="32"/>
          <w:shd w:val="clear" w:color="auto" w:fill="FFFFFF"/>
          <w:lang w:val="en-US" w:eastAsia="zh-CN"/>
        </w:rPr>
        <w:t>约谈法定代表人或业务负责人并发送监督提醒函，</w:t>
      </w:r>
      <w:r>
        <w:rPr>
          <w:rFonts w:hint="eastAsia" w:ascii="仿宋_GB2312" w:hAnsi="仿宋_GB2312" w:eastAsia="仿宋_GB2312" w:cs="仿宋_GB2312"/>
          <w:b w:val="0"/>
          <w:bCs w:val="0"/>
          <w:sz w:val="32"/>
          <w:szCs w:val="32"/>
          <w:shd w:val="clear" w:color="auto" w:fill="FFFFFF"/>
          <w:lang w:val="en-US" w:eastAsia="zh-CN"/>
        </w:rPr>
        <w:t>对D级和E级医疗机构</w:t>
      </w:r>
      <w:r>
        <w:rPr>
          <w:rStyle w:val="10"/>
          <w:rFonts w:hint="eastAsia" w:ascii="仿宋_GB2312" w:hAnsi="仿宋_GB2312" w:eastAsia="仿宋_GB2312" w:cs="仿宋_GB2312"/>
          <w:b w:val="0"/>
          <w:bCs w:val="0"/>
          <w:color w:val="000000"/>
          <w:sz w:val="32"/>
          <w:szCs w:val="32"/>
          <w:shd w:val="clear" w:color="auto" w:fill="FFFFFF"/>
          <w:lang w:val="en-US" w:eastAsia="zh-CN"/>
        </w:rPr>
        <w:t>约谈法定代表人，发送履行主体责任提示函。</w:t>
      </w:r>
    </w:p>
    <w:p>
      <w:pPr>
        <w:pStyle w:val="2"/>
        <w:widowControl w:val="0"/>
        <w:spacing w:afterLines="0" w:line="572" w:lineRule="exact"/>
        <w:ind w:firstLine="640" w:firstLineChars="200"/>
        <w:rPr>
          <w:rFonts w:hint="eastAsia" w:ascii="仿宋_GB2312" w:hAnsi="仿宋_GB2312" w:eastAsia="仿宋_GB2312" w:cs="仿宋_GB2312"/>
          <w:b/>
          <w:bCs/>
          <w:kern w:val="2"/>
          <w:sz w:val="32"/>
          <w:szCs w:val="32"/>
          <w:lang w:val="en-US" w:eastAsia="zh-CN" w:bidi="ar-SA"/>
        </w:rPr>
      </w:pPr>
      <w:r>
        <w:rPr>
          <w:rFonts w:hint="eastAsia" w:ascii="楷体_GB2312" w:hAnsi="楷体_GB2312" w:eastAsia="楷体_GB2312" w:cs="楷体_GB2312"/>
          <w:color w:val="auto"/>
          <w:sz w:val="32"/>
          <w:szCs w:val="32"/>
          <w:lang w:val="en-US" w:eastAsia="zh-CN"/>
        </w:rPr>
        <w:t>（八）一年一评。</w:t>
      </w:r>
    </w:p>
    <w:p>
      <w:pPr>
        <w:pStyle w:val="2"/>
        <w:widowControl w:val="0"/>
        <w:spacing w:afterLines="0" w:line="572" w:lineRule="exact"/>
        <w:ind w:firstLine="640" w:firstLineChars="200"/>
        <w:rPr>
          <w:rStyle w:val="10"/>
          <w:rFonts w:hint="eastAsia" w:ascii="仿宋_GB2312" w:hAnsi="仿宋_GB2312" w:eastAsia="仿宋_GB2312" w:cs="仿宋_GB2312"/>
          <w:b w:val="0"/>
          <w:color w:val="000000"/>
          <w:sz w:val="32"/>
          <w:szCs w:val="32"/>
          <w:shd w:val="clear" w:color="auto" w:fill="FFFFFF"/>
          <w:lang w:val="en-US" w:eastAsia="zh-CN"/>
        </w:rPr>
      </w:pPr>
      <w:r>
        <w:rPr>
          <w:rFonts w:hint="eastAsia" w:ascii="仿宋_GB2312" w:hAnsi="Calibri" w:eastAsia="仿宋_GB2312" w:cs="Times New Roman"/>
          <w:b w:val="0"/>
          <w:bCs w:val="0"/>
          <w:color w:val="000000"/>
          <w:kern w:val="2"/>
          <w:sz w:val="32"/>
          <w:szCs w:val="32"/>
          <w:lang w:val="en-US" w:eastAsia="zh-CN" w:bidi="ar-SA"/>
        </w:rPr>
        <w:t>为增强信用评价结果应用的可操作性，信用评价</w:t>
      </w:r>
      <w:r>
        <w:rPr>
          <w:rStyle w:val="10"/>
          <w:rFonts w:hint="eastAsia" w:ascii="仿宋_GB2312" w:hAnsi="仿宋_GB2312" w:eastAsia="仿宋_GB2312" w:cs="仿宋_GB2312"/>
          <w:b w:val="0"/>
          <w:color w:val="000000"/>
          <w:sz w:val="32"/>
          <w:szCs w:val="32"/>
          <w:shd w:val="clear" w:color="auto" w:fill="FFFFFF"/>
          <w:lang w:val="en-US" w:eastAsia="zh-CN"/>
        </w:rPr>
        <w:t>等级</w:t>
      </w:r>
      <w:r>
        <w:rPr>
          <w:rStyle w:val="10"/>
          <w:rFonts w:hint="eastAsia" w:ascii="仿宋_GB2312" w:hAnsi="仿宋_GB2312" w:eastAsia="仿宋_GB2312" w:cs="仿宋_GB2312"/>
          <w:b/>
          <w:bCs/>
          <w:color w:val="000000"/>
          <w:sz w:val="32"/>
          <w:szCs w:val="32"/>
          <w:shd w:val="clear" w:color="auto" w:fill="FFFFFF"/>
          <w:lang w:val="en-US" w:eastAsia="zh-CN"/>
        </w:rPr>
        <w:t>实行一年一评，同时</w:t>
      </w:r>
      <w:r>
        <w:rPr>
          <w:rFonts w:hint="eastAsia" w:ascii="仿宋_GB2312" w:hAnsi="仿宋_GB2312" w:eastAsia="仿宋_GB2312" w:cs="仿宋_GB2312"/>
          <w:kern w:val="44"/>
          <w:sz w:val="32"/>
          <w:szCs w:val="32"/>
          <w:shd w:val="clear" w:color="auto" w:fill="auto"/>
          <w:lang w:val="en-US" w:eastAsia="zh-CN" w:bidi="ar"/>
        </w:rPr>
        <w:t>明确开展信用评价时已经修复的信用信息不纳入评价范围。</w:t>
      </w:r>
    </w:p>
    <w:p>
      <w:pPr>
        <w:pStyle w:val="2"/>
        <w:keepNext w:val="0"/>
        <w:keepLines w:val="0"/>
        <w:pageBreakBefore w:val="0"/>
        <w:widowControl w:val="0"/>
        <w:numPr>
          <w:ilvl w:val="0"/>
          <w:numId w:val="0"/>
        </w:numPr>
        <w:kinsoku/>
        <w:wordWrap/>
        <w:overflowPunct/>
        <w:topLinePunct w:val="0"/>
        <w:autoSpaceDE/>
        <w:autoSpaceDN/>
        <w:bidi w:val="0"/>
        <w:snapToGrid/>
        <w:spacing w:line="580" w:lineRule="exact"/>
        <w:ind w:firstLine="640" w:firstLineChars="20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（九）异议处理和信用修复。</w:t>
      </w:r>
    </w:p>
    <w:p>
      <w:pPr>
        <w:pStyle w:val="2"/>
        <w:keepNext w:val="0"/>
        <w:keepLines w:val="0"/>
        <w:pageBreakBefore w:val="0"/>
        <w:widowControl w:val="0"/>
        <w:numPr>
          <w:ilvl w:val="0"/>
          <w:numId w:val="0"/>
        </w:numPr>
        <w:kinsoku/>
        <w:wordWrap/>
        <w:overflowPunct/>
        <w:topLinePunct w:val="0"/>
        <w:autoSpaceDE/>
        <w:autoSpaceDN/>
        <w:bidi w:val="0"/>
        <w:snapToGrid/>
        <w:spacing w:line="580" w:lineRule="exact"/>
        <w:ind w:firstLine="640" w:firstLineChars="200"/>
        <w:rPr>
          <w:rStyle w:val="10"/>
          <w:rFonts w:hint="eastAsia" w:ascii="仿宋_GB2312" w:hAnsi="仿宋_GB2312" w:eastAsia="仿宋_GB2312" w:cs="仿宋_GB2312"/>
          <w:b w:val="0"/>
          <w:color w:val="000000"/>
          <w:sz w:val="32"/>
          <w:szCs w:val="32"/>
          <w:shd w:val="clear" w:color="auto" w:fill="FFFFFF"/>
          <w:lang w:val="en-US" w:eastAsia="zh-CN"/>
        </w:rPr>
      </w:pPr>
      <w:r>
        <w:rPr>
          <w:rStyle w:val="10"/>
          <w:rFonts w:hint="eastAsia" w:ascii="仿宋_GB2312" w:hAnsi="仿宋_GB2312" w:eastAsia="仿宋_GB2312" w:cs="仿宋_GB2312"/>
          <w:b w:val="0"/>
          <w:color w:val="000000"/>
          <w:sz w:val="32"/>
          <w:szCs w:val="32"/>
          <w:shd w:val="clear" w:color="auto" w:fill="FFFFFF"/>
          <w:lang w:val="en-US" w:eastAsia="zh-CN"/>
        </w:rPr>
        <w:t>《办法》</w:t>
      </w:r>
      <w:r>
        <w:rPr>
          <w:rStyle w:val="10"/>
          <w:rFonts w:hint="default" w:ascii="仿宋_GB2312" w:hAnsi="仿宋_GB2312" w:eastAsia="仿宋_GB2312" w:cs="仿宋_GB2312"/>
          <w:b w:val="0"/>
          <w:color w:val="000000"/>
          <w:sz w:val="32"/>
          <w:szCs w:val="32"/>
          <w:shd w:val="clear" w:color="auto" w:fill="FFFFFF"/>
          <w:lang w:val="en-US" w:eastAsia="zh-CN"/>
        </w:rPr>
        <w:t>明确了</w:t>
      </w:r>
      <w:r>
        <w:rPr>
          <w:rStyle w:val="10"/>
          <w:rFonts w:hint="eastAsia" w:ascii="仿宋_GB2312" w:hAnsi="仿宋_GB2312" w:eastAsia="仿宋_GB2312" w:cs="仿宋_GB2312"/>
          <w:b w:val="0"/>
          <w:color w:val="000000"/>
          <w:sz w:val="32"/>
          <w:szCs w:val="32"/>
          <w:shd w:val="clear" w:color="auto" w:fill="FFFFFF"/>
          <w:lang w:val="en-US" w:eastAsia="zh-CN"/>
        </w:rPr>
        <w:t>医疗机构提出</w:t>
      </w:r>
      <w:r>
        <w:rPr>
          <w:rStyle w:val="10"/>
          <w:rFonts w:hint="default" w:ascii="仿宋_GB2312" w:hAnsi="仿宋_GB2312" w:eastAsia="仿宋_GB2312" w:cs="仿宋_GB2312"/>
          <w:b w:val="0"/>
          <w:color w:val="000000"/>
          <w:sz w:val="32"/>
          <w:szCs w:val="32"/>
          <w:shd w:val="clear" w:color="auto" w:fill="FFFFFF"/>
          <w:lang w:val="en-US" w:eastAsia="zh-CN"/>
        </w:rPr>
        <w:t>异议</w:t>
      </w:r>
      <w:r>
        <w:rPr>
          <w:rStyle w:val="10"/>
          <w:rFonts w:hint="eastAsia" w:ascii="仿宋_GB2312" w:hAnsi="仿宋_GB2312" w:eastAsia="仿宋_GB2312" w:cs="仿宋_GB2312"/>
          <w:b w:val="0"/>
          <w:color w:val="000000"/>
          <w:sz w:val="32"/>
          <w:szCs w:val="32"/>
          <w:shd w:val="clear" w:color="auto" w:fill="FFFFFF"/>
          <w:lang w:val="en-US" w:eastAsia="zh-CN"/>
        </w:rPr>
        <w:t>申请和申请信用修复的方式、条件、时限、流程，有效保障医疗机构合法权益。</w:t>
      </w:r>
    </w:p>
    <w:p>
      <w:pPr>
        <w:pStyle w:val="2"/>
        <w:keepNext w:val="0"/>
        <w:keepLines w:val="0"/>
        <w:pageBreakBefore w:val="0"/>
        <w:widowControl w:val="0"/>
        <w:numPr>
          <w:ilvl w:val="0"/>
          <w:numId w:val="0"/>
        </w:numPr>
        <w:kinsoku/>
        <w:wordWrap/>
        <w:overflowPunct/>
        <w:topLinePunct w:val="0"/>
        <w:autoSpaceDE/>
        <w:autoSpaceDN/>
        <w:bidi w:val="0"/>
        <w:snapToGrid/>
        <w:spacing w:line="580" w:lineRule="exact"/>
        <w:ind w:firstLine="640" w:firstLineChars="20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（十）信息化支撑。</w:t>
      </w:r>
    </w:p>
    <w:p>
      <w:pPr>
        <w:pStyle w:val="2"/>
        <w:keepNext w:val="0"/>
        <w:keepLines w:val="0"/>
        <w:pageBreakBefore w:val="0"/>
        <w:widowControl w:val="0"/>
        <w:numPr>
          <w:ilvl w:val="0"/>
          <w:numId w:val="0"/>
        </w:numPr>
        <w:kinsoku/>
        <w:wordWrap/>
        <w:overflowPunct/>
        <w:topLinePunct w:val="0"/>
        <w:autoSpaceDE/>
        <w:autoSpaceDN/>
        <w:bidi w:val="0"/>
        <w:snapToGrid/>
        <w:spacing w:line="580" w:lineRule="exact"/>
        <w:ind w:firstLine="640" w:firstLineChars="200"/>
        <w:rPr>
          <w:rStyle w:val="10"/>
          <w:rFonts w:hint="default" w:ascii="仿宋_GB2312" w:hAnsi="仿宋_GB2312" w:eastAsia="仿宋_GB2312" w:cs="仿宋_GB2312"/>
          <w:b w:val="0"/>
          <w:color w:val="000000"/>
          <w:sz w:val="32"/>
          <w:szCs w:val="32"/>
          <w:shd w:val="clear" w:color="auto" w:fill="FFFFFF"/>
          <w:lang w:val="en-US" w:eastAsia="zh-CN"/>
        </w:rPr>
      </w:pPr>
      <w:r>
        <w:rPr>
          <w:rFonts w:hint="eastAsia" w:ascii="仿宋_GB2312" w:hAnsi="Calibri" w:eastAsia="仿宋_GB2312" w:cs="Times New Roman"/>
          <w:b w:val="0"/>
          <w:bCs w:val="0"/>
          <w:color w:val="000000"/>
          <w:kern w:val="2"/>
          <w:sz w:val="32"/>
          <w:szCs w:val="32"/>
          <w:lang w:val="en-US" w:eastAsia="zh-CN" w:bidi="ar-SA"/>
        </w:rPr>
        <w:t>为进一步创新医疗卫生监管手段，我委正在开发建设信用管理系统，按照“一院一档”</w:t>
      </w:r>
      <w:r>
        <w:rPr>
          <w:rFonts w:hint="eastAsia" w:ascii="仿宋_GB2312" w:hAnsi="仿宋_GB2312" w:eastAsia="仿宋_GB2312" w:cs="仿宋_GB2312"/>
          <w:b w:val="0"/>
          <w:bCs w:val="0"/>
          <w:i w:val="0"/>
          <w:iCs w:val="0"/>
          <w:color w:val="auto"/>
          <w:kern w:val="0"/>
          <w:sz w:val="32"/>
          <w:szCs w:val="32"/>
          <w:u w:val="none"/>
          <w:lang w:val="en-US" w:eastAsia="zh-CN"/>
        </w:rPr>
        <w:t>归集信用信息，嵌入行业信用评价规则，分步对监管对象自动进行行业信用评价，根据信用评价结果采取差异化的监管措施。该</w:t>
      </w:r>
      <w:r>
        <w:rPr>
          <w:rFonts w:hint="eastAsia" w:ascii="仿宋_GB2312" w:hAnsi="Calibri" w:eastAsia="仿宋_GB2312" w:cs="Times New Roman"/>
          <w:b w:val="0"/>
          <w:bCs w:val="0"/>
          <w:color w:val="000000"/>
          <w:kern w:val="2"/>
          <w:sz w:val="32"/>
          <w:szCs w:val="32"/>
          <w:lang w:val="en-US" w:eastAsia="zh-CN" w:bidi="ar-SA"/>
        </w:rPr>
        <w:t>系统</w:t>
      </w:r>
      <w:r>
        <w:rPr>
          <w:rFonts w:hint="eastAsia" w:ascii="仿宋_GB2312" w:hAnsi="仿宋_GB2312" w:eastAsia="仿宋_GB2312" w:cs="仿宋_GB2312"/>
          <w:b w:val="0"/>
          <w:bCs w:val="0"/>
          <w:i w:val="0"/>
          <w:iCs w:val="0"/>
          <w:color w:val="auto"/>
          <w:kern w:val="0"/>
          <w:sz w:val="32"/>
          <w:szCs w:val="32"/>
          <w:u w:val="none"/>
          <w:lang w:val="en-US" w:eastAsia="zh-CN"/>
        </w:rPr>
        <w:t>同时具备信用信息采集与维护、信用主动告知及查询、信用异议、信用修复、信用报告申领等功能，并实现与市公共信用平</w:t>
      </w:r>
      <w:r>
        <w:rPr>
          <w:rFonts w:hint="eastAsia" w:ascii="仿宋_GB2312" w:hAnsi="仿宋_GB2312" w:eastAsia="仿宋_GB2312" w:cs="仿宋_GB2312"/>
          <w:b w:val="0"/>
          <w:bCs w:val="0"/>
          <w:i w:val="0"/>
          <w:iCs w:val="0"/>
          <w:color w:val="auto"/>
          <w:sz w:val="32"/>
          <w:szCs w:val="32"/>
          <w:u w:val="none"/>
          <w:lang w:val="en-US" w:eastAsia="zh-CN"/>
        </w:rPr>
        <w:t>台和省信用系统的数据交换功能。</w:t>
      </w:r>
    </w:p>
    <w:sectPr>
      <w:headerReference r:id="rId3" w:type="default"/>
      <w:footerReference r:id="rId4" w:type="default"/>
      <w:pgSz w:w="11906" w:h="16838"/>
      <w:pgMar w:top="1440" w:right="1463"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altName w:val="方正小标宋简体"/>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3ZWU2MTZhZDgzMjQ5ZTJiZTQ4NGU5MzY1MDI2OTcifQ=="/>
  </w:docVars>
  <w:rsids>
    <w:rsidRoot w:val="2D3A3041"/>
    <w:rsid w:val="048770D7"/>
    <w:rsid w:val="067E5988"/>
    <w:rsid w:val="06F25E8A"/>
    <w:rsid w:val="0C2B4D4F"/>
    <w:rsid w:val="0F6C5565"/>
    <w:rsid w:val="1E0E625D"/>
    <w:rsid w:val="2D3A3041"/>
    <w:rsid w:val="2FFBFC99"/>
    <w:rsid w:val="30602AC8"/>
    <w:rsid w:val="33951B9B"/>
    <w:rsid w:val="340F72EC"/>
    <w:rsid w:val="37E96302"/>
    <w:rsid w:val="3A4E0FDA"/>
    <w:rsid w:val="3B50484C"/>
    <w:rsid w:val="3EF7B67C"/>
    <w:rsid w:val="402F78F8"/>
    <w:rsid w:val="411F646C"/>
    <w:rsid w:val="41BD12E3"/>
    <w:rsid w:val="43E75FB7"/>
    <w:rsid w:val="47FB579B"/>
    <w:rsid w:val="503F4A32"/>
    <w:rsid w:val="50E46C55"/>
    <w:rsid w:val="56F21BAF"/>
    <w:rsid w:val="5A696298"/>
    <w:rsid w:val="5FD63423"/>
    <w:rsid w:val="62C17277"/>
    <w:rsid w:val="66FE14BA"/>
    <w:rsid w:val="677FF6AA"/>
    <w:rsid w:val="678342C1"/>
    <w:rsid w:val="69E54615"/>
    <w:rsid w:val="6BE2D905"/>
    <w:rsid w:val="6C501E92"/>
    <w:rsid w:val="6E922DFB"/>
    <w:rsid w:val="6EDD1184"/>
    <w:rsid w:val="710620C6"/>
    <w:rsid w:val="716EE761"/>
    <w:rsid w:val="725672F4"/>
    <w:rsid w:val="745A1F8C"/>
    <w:rsid w:val="7B6F339A"/>
    <w:rsid w:val="7CF75A62"/>
    <w:rsid w:val="7E7D607D"/>
    <w:rsid w:val="7EFF46AC"/>
    <w:rsid w:val="7F215A9B"/>
    <w:rsid w:val="7F77022A"/>
    <w:rsid w:val="98FDB830"/>
    <w:rsid w:val="9BBF9A71"/>
    <w:rsid w:val="9FDB5877"/>
    <w:rsid w:val="AFEEDB3B"/>
    <w:rsid w:val="B8AF4E53"/>
    <w:rsid w:val="CBADC391"/>
    <w:rsid w:val="D1FF9E18"/>
    <w:rsid w:val="DB3E17B7"/>
    <w:rsid w:val="DFFFF949"/>
    <w:rsid w:val="EDFF5F8C"/>
    <w:rsid w:val="F71BEAE3"/>
    <w:rsid w:val="F97F1001"/>
    <w:rsid w:val="FF3F29C9"/>
    <w:rsid w:val="FFDBB1AC"/>
    <w:rsid w:val="FFDC0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uto"/>
      <w:ind w:firstLine="420"/>
      <w:textAlignment w:val="baseline"/>
    </w:pPr>
    <w:rPr>
      <w:rFonts w:ascii="Calibri" w:hAnsi="Calibri"/>
      <w:kern w:val="0"/>
      <w:sz w:val="24"/>
    </w:rPr>
  </w:style>
  <w:style w:type="paragraph" w:styleId="4">
    <w:name w:val="Body Text"/>
    <w:basedOn w:val="1"/>
    <w:next w:val="1"/>
    <w:qFormat/>
    <w:uiPriority w:val="0"/>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 w:type="paragraph" w:customStyle="1" w:styleId="11">
    <w:name w:val=" 黑体"/>
    <w:basedOn w:val="1"/>
    <w:qFormat/>
    <w:uiPriority w:val="0"/>
    <w:rPr>
      <w:rFonts w:hint="eastAsia" w:ascii="黑体" w:hAnsi="黑体" w:eastAsia="黑体" w:cs="黑体"/>
      <w:sz w:val="32"/>
    </w:rPr>
  </w:style>
  <w:style w:type="paragraph" w:customStyle="1" w:styleId="12">
    <w:name w:val=" 仿宋_GB2312"/>
    <w:basedOn w:val="1"/>
    <w:qFormat/>
    <w:uiPriority w:val="0"/>
    <w:rPr>
      <w:rFonts w:hint="eastAsia" w:ascii="仿宋_GB2312" w:hAnsi="仿宋_GB2312" w:eastAsia="仿宋_GB2312" w:cs="仿宋_GB2312"/>
      <w:sz w:val="32"/>
    </w:rPr>
  </w:style>
  <w:style w:type="paragraph" w:customStyle="1" w:styleId="13">
    <w:name w:val=" 楷体_GB2312"/>
    <w:basedOn w:val="1"/>
    <w:qFormat/>
    <w:uiPriority w:val="0"/>
    <w:rPr>
      <w:rFonts w:hint="eastAsia" w:ascii="楷体_GB2312" w:hAnsi="楷体_GB2312" w:eastAsia="楷体_GB2312" w:cs="楷体_GB2312"/>
      <w:sz w:val="32"/>
    </w:rPr>
  </w:style>
  <w:style w:type="paragraph" w:customStyle="1" w:styleId="14">
    <w:name w:val=" 方正小标宋简体"/>
    <w:basedOn w:val="1"/>
    <w:qFormat/>
    <w:uiPriority w:val="0"/>
    <w:rPr>
      <w:rFonts w:hint="eastAsia" w:ascii="方正小标宋简体" w:hAnsi="方正小标宋简体" w:eastAsia="方正小标宋简体" w:cs="方正小标宋简体"/>
      <w:sz w:val="32"/>
    </w:rPr>
  </w:style>
  <w:style w:type="paragraph" w:customStyle="1" w:styleId="15">
    <w:name w:val=" 方正小标宋_GBK"/>
    <w:basedOn w:val="1"/>
    <w:qFormat/>
    <w:uiPriority w:val="0"/>
    <w:rPr>
      <w:rFonts w:hint="eastAsia" w:ascii="方正小标宋_GBK”" w:hAnsi="方正小标宋_GBK”" w:eastAsia="方正小标宋_GBK”" w:cs="方正小标宋_GBK”"/>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107</Words>
  <Characters>107</Characters>
  <Lines>0</Lines>
  <Paragraphs>0</Paragraphs>
  <TotalTime>0</TotalTime>
  <ScaleCrop>false</ScaleCrop>
  <LinksUpToDate>false</LinksUpToDate>
  <CharactersWithSpaces>108</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2024-12-30T02:25:00Z</dcterms:created>
  <dc:creator>沈雪枫</dc:creator>
  <cp:lastModifiedBy>沈雪枫</cp:lastModifiedBy>
  <cp:lastPrinted>2025-01-03T03:15:00Z</cp:lastPrinted>
  <dcterms:modified xsi:type="dcterms:W3CDTF">2025-04-03T18:44:58Z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B2DFFF0395C14EE18BEEC3A5B47D16E5_11</vt:lpwstr>
  </property>
</Properties>
</file>