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left"/>
        <w:rPr>
          <w:rFonts w:ascii="黑体" w:hAnsi="黑体" w:eastAsia="黑体"/>
          <w:szCs w:val="32"/>
        </w:rPr>
      </w:pPr>
      <w:bookmarkStart w:id="0" w:name="红头"/>
      <w:r>
        <w:rPr>
          <w:rFonts w:hint="eastAsia" w:ascii="黑体" w:hAnsi="黑体" w:eastAsia="黑体"/>
          <w:szCs w:val="32"/>
        </w:rPr>
        <w:t>附件1</w:t>
      </w:r>
    </w:p>
    <w:p>
      <w:pPr>
        <w:spacing w:line="60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24</w:t>
      </w:r>
      <w:r>
        <w:rPr>
          <w:rFonts w:hint="eastAsia" w:ascii="黑体" w:hAnsi="黑体" w:eastAsia="黑体"/>
          <w:sz w:val="44"/>
          <w:szCs w:val="44"/>
        </w:rPr>
        <w:t>年深圳市公共场所卫生</w:t>
      </w:r>
      <w:r>
        <w:rPr>
          <w:rFonts w:hint="eastAsia" w:ascii="黑体" w:hAnsi="黑体" w:eastAsia="黑体"/>
          <w:sz w:val="44"/>
          <w:szCs w:val="44"/>
          <w:lang w:eastAsia="zh-CN"/>
        </w:rPr>
        <w:t>国家随机</w:t>
      </w:r>
      <w:r>
        <w:rPr>
          <w:rFonts w:hint="eastAsia" w:ascii="黑体" w:hAnsi="黑体" w:eastAsia="黑体"/>
          <w:sz w:val="44"/>
          <w:szCs w:val="44"/>
        </w:rPr>
        <w:t>监督抽查</w:t>
      </w:r>
    </w:p>
    <w:p>
      <w:pPr>
        <w:spacing w:line="600" w:lineRule="exact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</w:rPr>
        <w:t>计划</w:t>
      </w:r>
      <w:r>
        <w:rPr>
          <w:rFonts w:hint="eastAsia" w:ascii="黑体" w:hAnsi="黑体" w:eastAsia="黑体"/>
          <w:sz w:val="44"/>
          <w:szCs w:val="44"/>
          <w:lang w:eastAsia="zh-CN"/>
        </w:rPr>
        <w:t>及工作方案</w:t>
      </w:r>
    </w:p>
    <w:p>
      <w:pPr>
        <w:widowControl/>
        <w:spacing w:line="600" w:lineRule="exact"/>
        <w:ind w:firstLine="640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>一、监督检查内容</w:t>
      </w:r>
    </w:p>
    <w:p>
      <w:pPr>
        <w:spacing w:line="560" w:lineRule="exact"/>
        <w:ind w:firstLine="640" w:firstLineChars="200"/>
        <w:rPr>
          <w:rFonts w:hint="eastAsia"/>
        </w:rPr>
      </w:pPr>
      <w:r>
        <w:rPr>
          <w:lang w:val="en-US" w:eastAsia="zh-CN"/>
        </w:rPr>
        <w:t>抽查游泳、住宿、沐浴、美容美发等场所卫生管理情况</w:t>
      </w:r>
      <w:r>
        <w:rPr>
          <w:rFonts w:hint="eastAsia"/>
          <w:lang w:val="en-US" w:eastAsia="zh-CN"/>
        </w:rPr>
        <w:t>，</w:t>
      </w:r>
      <w:r>
        <w:rPr>
          <w:lang w:val="en-US" w:eastAsia="zh-CN"/>
        </w:rPr>
        <w:t>抽查顾客用品用具、水质、空气以及集中空调通风系统卫生质量。加强公共场所新型冠状病毒感染防控措施落实情况监督检查。</w:t>
      </w:r>
    </w:p>
    <w:p>
      <w:pPr>
        <w:spacing w:line="560" w:lineRule="exact"/>
        <w:ind w:firstLine="640" w:firstLineChars="200"/>
        <w:rPr>
          <w:rFonts w:eastAsia="黑体"/>
        </w:rPr>
      </w:pPr>
      <w:r>
        <w:rPr>
          <w:rFonts w:hint="eastAsia" w:eastAsia="黑体"/>
        </w:rPr>
        <w:t>二</w:t>
      </w:r>
      <w:r>
        <w:rPr>
          <w:rFonts w:eastAsia="黑体"/>
        </w:rPr>
        <w:t>、检查结果上报</w:t>
      </w:r>
    </w:p>
    <w:p>
      <w:pPr>
        <w:spacing w:line="560" w:lineRule="exact"/>
        <w:ind w:firstLine="640" w:firstLineChars="200"/>
        <w:rPr>
          <w:lang w:val="en-US" w:eastAsia="zh-CN"/>
        </w:rPr>
      </w:pPr>
      <w:r>
        <w:rPr>
          <w:lang w:val="en-US" w:eastAsia="zh-CN"/>
        </w:rPr>
        <w:t>（一）各</w:t>
      </w:r>
      <w:r>
        <w:rPr>
          <w:rFonts w:hint="eastAsia"/>
          <w:lang w:val="en-US" w:eastAsia="zh-CN"/>
        </w:rPr>
        <w:t>区（新区）卫生监督机构在</w:t>
      </w:r>
      <w:r>
        <w:rPr>
          <w:lang w:val="en-US" w:eastAsia="zh-CN"/>
        </w:rPr>
        <w:t>卫生监督业务系统填报监督检查记录后，通过信息报告已有的数据交换标准及接口交换上报监督检查记录。</w:t>
      </w:r>
    </w:p>
    <w:p>
      <w:pPr>
        <w:spacing w:line="560" w:lineRule="exact"/>
        <w:ind w:firstLine="640" w:firstLineChars="200"/>
        <w:rPr>
          <w:lang w:val="en-US" w:eastAsia="zh-CN"/>
        </w:rPr>
      </w:pPr>
      <w:r>
        <w:rPr>
          <w:lang w:val="en-US" w:eastAsia="zh-CN"/>
        </w:rPr>
        <w:t>（二）</w:t>
      </w:r>
      <w:r>
        <w:rPr>
          <w:rFonts w:hint="eastAsia"/>
          <w:lang w:val="en-US" w:eastAsia="zh-CN"/>
        </w:rPr>
        <w:t>抽检中有</w:t>
      </w:r>
      <w:r>
        <w:rPr>
          <w:lang w:val="en-US" w:eastAsia="zh-CN"/>
        </w:rPr>
        <w:t>监督检测要求任务的，</w:t>
      </w:r>
      <w:r>
        <w:rPr>
          <w:rFonts w:hint="eastAsia"/>
          <w:lang w:val="en-US" w:eastAsia="zh-CN"/>
        </w:rPr>
        <w:t>卫生监督员</w:t>
      </w:r>
      <w:r>
        <w:rPr>
          <w:lang w:val="en-US" w:eastAsia="zh-CN"/>
        </w:rPr>
        <w:t>除填报监督检查记录外，还需填报对应监督检测记录，再次审核通过后即完成任务。</w:t>
      </w:r>
    </w:p>
    <w:p>
      <w:pPr>
        <w:spacing w:line="560" w:lineRule="exact"/>
        <w:ind w:firstLine="640" w:firstLineChars="200"/>
        <w:rPr>
          <w:lang w:val="en-US" w:eastAsia="zh-CN"/>
        </w:rPr>
      </w:pPr>
      <w:r>
        <w:rPr>
          <w:lang w:val="en-US" w:eastAsia="zh-CN"/>
        </w:rPr>
        <w:t>（三）任务完成结果以“信息报告系统”产出结果为准。个案产出汇总表由“信息报告系统”自动生成。</w:t>
      </w:r>
    </w:p>
    <w:p>
      <w:pPr>
        <w:spacing w:line="560" w:lineRule="exact"/>
        <w:ind w:firstLine="640" w:firstLineChars="200"/>
        <w:rPr>
          <w:rFonts w:ascii="黑体" w:eastAsia="黑体"/>
        </w:rPr>
      </w:pPr>
      <w:r>
        <w:rPr>
          <w:rFonts w:hint="eastAsia" w:ascii="黑体" w:eastAsia="黑体"/>
        </w:rPr>
        <w:t>三、其他要求</w:t>
      </w:r>
    </w:p>
    <w:p>
      <w:pPr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市卫生健康委的工作部署要求，全市各区要在2024年11月10日前完成全部公共卫生抽查任务的结果报送。汇总数据以信息报告系统的填报数据为准，不需另外报送纸质报表。各区报送以上材料均需同时报送电子版至sjhjwsk@wsjd.sz.gov.cn。</w:t>
      </w:r>
    </w:p>
    <w:p>
      <w:pPr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各区要认真组织实施监督抽检计划（详见附表）。对监督检查中发现违法行为，要严格依法查处。将抽检结果按照有关规定向社会公开。</w:t>
      </w:r>
    </w:p>
    <w:p>
      <w:pPr>
        <w:spacing w:line="560" w:lineRule="exact"/>
        <w:ind w:firstLine="640" w:firstLineChars="200"/>
        <w:rPr>
          <w:rFonts w:ascii="宋体"/>
          <w:kern w:val="0"/>
          <w:szCs w:val="32"/>
        </w:rPr>
      </w:pPr>
      <w:r>
        <w:rPr>
          <w:rFonts w:hint="eastAsia" w:ascii="黑体" w:hAnsi="黑体" w:eastAsia="黑体" w:cs="黑体"/>
          <w:szCs w:val="32"/>
        </w:rPr>
        <w:t>四、联系人及联系方式</w:t>
      </w:r>
    </w:p>
    <w:p>
      <w:pPr>
        <w:spacing w:line="560" w:lineRule="exact"/>
        <w:ind w:firstLine="636" w:firstLineChars="199"/>
        <w:rPr>
          <w:rFonts w:ascii="楷体_GB2312" w:hAnsi="楷体" w:eastAsia="楷体_GB2312"/>
          <w:szCs w:val="32"/>
        </w:rPr>
      </w:pPr>
      <w:r>
        <w:rPr>
          <w:rFonts w:hint="eastAsia" w:ascii="楷体_GB2312" w:eastAsia="楷体_GB2312" w:cs="仿宋_GB2312"/>
          <w:kern w:val="0"/>
          <w:szCs w:val="32"/>
        </w:rPr>
        <w:t>（一）</w:t>
      </w:r>
      <w:r>
        <w:rPr>
          <w:rFonts w:hint="eastAsia" w:ascii="楷体_GB2312" w:hAnsi="楷体" w:eastAsia="楷体_GB2312" w:cs="楷体"/>
          <w:szCs w:val="32"/>
        </w:rPr>
        <w:t>市</w:t>
      </w:r>
      <w:r>
        <w:rPr>
          <w:rFonts w:hint="eastAsia" w:ascii="楷体_GB2312" w:hAnsi="楷体" w:eastAsia="楷体_GB2312" w:cs="楷体"/>
          <w:szCs w:val="32"/>
          <w:lang w:eastAsia="zh-CN"/>
        </w:rPr>
        <w:t>卫生健康</w:t>
      </w:r>
      <w:r>
        <w:rPr>
          <w:rFonts w:hint="eastAsia" w:ascii="楷体_GB2312" w:hAnsi="楷体" w:eastAsia="楷体_GB2312" w:cs="楷体"/>
          <w:szCs w:val="32"/>
        </w:rPr>
        <w:t>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eastAsia="仿宋_GB2312"/>
          <w:lang w:val="en-US" w:eastAsia="zh-CN"/>
        </w:rPr>
        <w:t>联系人：</w:t>
      </w:r>
      <w:r>
        <w:rPr>
          <w:rFonts w:hint="eastAsia" w:ascii="仿宋_GB2312" w:cs="Times New Roman"/>
          <w:color w:val="000000"/>
          <w:sz w:val="32"/>
          <w:szCs w:val="32"/>
          <w:lang w:eastAsia="zh-CN"/>
        </w:rPr>
        <w:t>舒斌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  <w:lang w:eastAsia="zh-CN"/>
        </w:rPr>
        <w:t>联系电话：88113</w:t>
      </w:r>
      <w:r>
        <w:rPr>
          <w:rFonts w:hint="eastAsia" w:ascii="仿宋_GB2312" w:cs="Times New Roman"/>
          <w:color w:val="000000"/>
          <w:sz w:val="32"/>
          <w:szCs w:val="32"/>
          <w:lang w:val="en-US" w:eastAsia="zh-CN"/>
        </w:rPr>
        <w:t>890</w:t>
      </w:r>
    </w:p>
    <w:p>
      <w:pPr>
        <w:spacing w:line="560" w:lineRule="exact"/>
        <w:ind w:firstLine="636" w:firstLineChars="199"/>
        <w:jc w:val="left"/>
        <w:rPr>
          <w:rFonts w:ascii="楷体_GB2312" w:hAnsi="楷体" w:eastAsia="楷体_GB2312"/>
          <w:color w:val="000000"/>
          <w:szCs w:val="32"/>
        </w:rPr>
      </w:pPr>
      <w:bookmarkStart w:id="1" w:name="_GoBack"/>
      <w:bookmarkEnd w:id="1"/>
      <w:r>
        <w:rPr>
          <w:rFonts w:hint="eastAsia" w:ascii="楷体_GB2312" w:eastAsia="楷体_GB2312" w:cs="仿宋_GB2312"/>
          <w:kern w:val="0"/>
          <w:szCs w:val="32"/>
        </w:rPr>
        <w:t>（二）</w:t>
      </w:r>
      <w:r>
        <w:rPr>
          <w:rFonts w:hint="eastAsia" w:ascii="楷体_GB2312" w:hAnsi="楷体" w:eastAsia="楷体_GB2312" w:cs="楷体"/>
          <w:color w:val="000000"/>
          <w:szCs w:val="32"/>
        </w:rPr>
        <w:t>市卫生监督局。</w:t>
      </w:r>
    </w:p>
    <w:p>
      <w:pPr>
        <w:spacing w:line="560" w:lineRule="exact"/>
        <w:ind w:firstLine="796" w:firstLineChars="249"/>
        <w:rPr>
          <w:rFonts w:hint="eastAsia" w:ascii="仿宋_GB2312" w:hAnsi="宋体" w:eastAsia="仿宋_GB2312"/>
          <w:color w:val="000000"/>
          <w:szCs w:val="32"/>
          <w:lang w:eastAsia="zh-CN"/>
        </w:rPr>
      </w:pPr>
      <w:r>
        <w:rPr>
          <w:rFonts w:hint="eastAsia" w:ascii="仿宋_GB2312" w:hAnsi="宋体" w:cs="仿宋_GB2312"/>
          <w:color w:val="000000"/>
          <w:szCs w:val="32"/>
        </w:rPr>
        <w:t>联系人：</w:t>
      </w:r>
      <w:r>
        <w:rPr>
          <w:rFonts w:hint="eastAsia" w:ascii="仿宋_GB2312" w:hAnsi="宋体" w:cs="仿宋_GB2312"/>
          <w:color w:val="000000"/>
          <w:szCs w:val="32"/>
          <w:lang w:eastAsia="zh-CN"/>
        </w:rPr>
        <w:t>李贤冠</w:t>
      </w:r>
    </w:p>
    <w:p>
      <w:pPr>
        <w:spacing w:line="560" w:lineRule="exact"/>
        <w:ind w:firstLine="796" w:firstLineChars="249"/>
        <w:rPr>
          <w:rFonts w:hint="eastAsia" w:ascii="仿宋_GB2312" w:hAnsi="宋体" w:eastAsia="仿宋_GB2312"/>
          <w:color w:val="000000"/>
          <w:szCs w:val="32"/>
          <w:lang w:val="en-US" w:eastAsia="zh-CN"/>
        </w:rPr>
      </w:pPr>
      <w:r>
        <w:rPr>
          <w:rFonts w:hint="eastAsia" w:cs="仿宋_GB2312"/>
          <w:szCs w:val="32"/>
        </w:rPr>
        <w:t>联系电话：</w:t>
      </w:r>
      <w:r>
        <w:rPr>
          <w:rFonts w:hint="eastAsia" w:ascii="仿宋_GB2312" w:hAnsi="宋体" w:cs="仿宋_GB2312"/>
          <w:color w:val="000000"/>
          <w:szCs w:val="32"/>
        </w:rPr>
        <w:t>8811362</w:t>
      </w:r>
      <w:r>
        <w:rPr>
          <w:rFonts w:hint="eastAsia" w:ascii="仿宋_GB2312" w:hAnsi="宋体" w:cs="仿宋_GB2312"/>
          <w:color w:val="000000"/>
          <w:szCs w:val="32"/>
          <w:lang w:val="en-US" w:eastAsia="zh-CN"/>
        </w:rPr>
        <w:t>2</w:t>
      </w:r>
    </w:p>
    <w:p>
      <w:pPr>
        <w:spacing w:line="560" w:lineRule="exact"/>
        <w:ind w:firstLine="796" w:firstLineChars="249"/>
        <w:rPr>
          <w:rFonts w:ascii="仿宋_GB2312" w:cs="仿宋_GB2312"/>
          <w:szCs w:val="32"/>
        </w:rPr>
      </w:pPr>
      <w:r>
        <w:rPr>
          <w:rFonts w:hint="eastAsia" w:ascii="仿宋_GB2312" w:hAnsi="宋体" w:cs="仿宋_GB2312"/>
          <w:color w:val="000000"/>
          <w:szCs w:val="32"/>
        </w:rPr>
        <w:t>邮</w:t>
      </w:r>
      <w:r>
        <w:rPr>
          <w:rFonts w:hint="eastAsia" w:cs="仿宋_GB2312"/>
          <w:szCs w:val="32"/>
        </w:rPr>
        <w:t>箱：</w:t>
      </w:r>
      <w:r>
        <w:rPr>
          <w:rFonts w:hint="eastAsia" w:ascii="仿宋_GB2312" w:cs="仿宋_GB2312"/>
          <w:szCs w:val="32"/>
          <w:lang w:val="en-US" w:eastAsia="zh-CN"/>
        </w:rPr>
        <w:t>sjhjwsk@wsjd.sz.gov.cn</w:t>
      </w:r>
    </w:p>
    <w:p>
      <w:pPr>
        <w:numPr>
          <w:ilvl w:val="0"/>
          <w:numId w:val="1"/>
        </w:numPr>
        <w:spacing w:line="560" w:lineRule="exact"/>
        <w:ind w:left="420" w:leftChars="0" w:firstLine="420" w:firstLineChars="0"/>
        <w:jc w:val="both"/>
        <w:rPr>
          <w:rFonts w:hint="eastAsia" w:ascii="仿宋_GB2312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pacing w:val="-6"/>
          <w:sz w:val="32"/>
          <w:szCs w:val="32"/>
        </w:rPr>
        <w:t>市疾病预防控制中心：</w:t>
      </w:r>
    </w:p>
    <w:p>
      <w:pPr>
        <w:numPr>
          <w:ilvl w:val="0"/>
          <w:numId w:val="0"/>
        </w:numPr>
        <w:spacing w:line="560" w:lineRule="exact"/>
        <w:ind w:firstLine="420" w:firstLineChars="0"/>
        <w:jc w:val="both"/>
        <w:rPr>
          <w:rFonts w:hint="eastAsia" w:ascii="仿宋_GB2312" w:hAnsi="Times New Roman" w:eastAsia="仿宋_GB2312" w:cs="Times New Roman"/>
          <w:color w:val="000000"/>
          <w:spacing w:val="-6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color w:val="000000"/>
          <w:spacing w:val="-6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color w:val="000000"/>
          <w:spacing w:val="-6"/>
          <w:sz w:val="32"/>
          <w:szCs w:val="32"/>
          <w:lang w:val="en-US" w:eastAsia="zh-CN"/>
        </w:rPr>
        <w:t>联系人：</w:t>
      </w:r>
      <w:r>
        <w:rPr>
          <w:rFonts w:hint="eastAsia" w:ascii="仿宋_GB2312" w:eastAsia="仿宋_GB2312" w:cs="Times New Roman"/>
          <w:color w:val="000000"/>
          <w:spacing w:val="-6"/>
          <w:sz w:val="32"/>
          <w:szCs w:val="32"/>
          <w:lang w:eastAsia="zh-CN"/>
        </w:rPr>
        <w:t>刘宁</w:t>
      </w:r>
      <w:r>
        <w:rPr>
          <w:rFonts w:hint="eastAsia" w:ascii="仿宋_GB2312" w:hAnsi="Times New Roman" w:eastAsia="仿宋_GB2312" w:cs="Times New Roman"/>
          <w:color w:val="000000"/>
          <w:spacing w:val="-6"/>
          <w:sz w:val="32"/>
          <w:szCs w:val="32"/>
        </w:rPr>
        <w:t>，联系电话：</w:t>
      </w:r>
      <w:r>
        <w:rPr>
          <w:rFonts w:hint="eastAsia" w:ascii="仿宋_GB2312" w:eastAsia="仿宋_GB2312" w:cs="Times New Roman"/>
          <w:color w:val="000000"/>
          <w:spacing w:val="-6"/>
          <w:sz w:val="32"/>
          <w:szCs w:val="32"/>
          <w:lang w:val="en-US" w:eastAsia="zh-CN"/>
        </w:rPr>
        <w:t>13501580582</w:t>
      </w:r>
      <w:r>
        <w:rPr>
          <w:rFonts w:hint="eastAsia" w:ascii="仿宋_GB2312" w:hAnsi="Times New Roman" w:eastAsia="仿宋_GB2312" w:cs="Times New Roman"/>
          <w:color w:val="000000"/>
          <w:spacing w:val="-6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left="420" w:leftChars="0" w:firstLine="420" w:firstLineChars="0"/>
        <w:rPr>
          <w:rFonts w:hint="eastAsia" w:ascii="仿宋_GB2312" w:hAnsi="华文仿宋"/>
          <w:kern w:val="0"/>
          <w:szCs w:val="32"/>
        </w:rPr>
      </w:pPr>
      <w:r>
        <w:rPr>
          <w:rFonts w:hint="eastAsia" w:ascii="仿宋_GB2312" w:eastAsia="仿宋_GB2312" w:cs="Times New Roman"/>
          <w:color w:val="000000"/>
          <w:spacing w:val="-6"/>
          <w:sz w:val="32"/>
          <w:szCs w:val="32"/>
          <w:lang w:eastAsia="zh-CN"/>
        </w:rPr>
        <w:t>联系人：刘刚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联系电话：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13501580055</w:t>
      </w:r>
    </w:p>
    <w:p>
      <w:pPr>
        <w:rPr>
          <w:rFonts w:hint="eastAsia" w:ascii="仿宋_GB2312" w:hAnsi="华文仿宋"/>
          <w:kern w:val="0"/>
          <w:szCs w:val="32"/>
        </w:rPr>
      </w:pPr>
    </w:p>
    <w:p>
      <w:pPr>
        <w:rPr>
          <w:rFonts w:hint="eastAsia" w:ascii="仿宋_GB2312" w:hAnsi="华文仿宋"/>
          <w:kern w:val="0"/>
          <w:szCs w:val="32"/>
        </w:rPr>
      </w:pPr>
      <w:r>
        <w:rPr>
          <w:rFonts w:hint="eastAsia" w:ascii="仿宋_GB2312" w:hAnsi="华文仿宋"/>
          <w:kern w:val="0"/>
          <w:szCs w:val="32"/>
        </w:rPr>
        <w:t>附表</w:t>
      </w:r>
      <w:r>
        <w:rPr>
          <w:rFonts w:hint="eastAsia" w:ascii="仿宋_GB2312" w:hAnsi="华文仿宋"/>
          <w:kern w:val="0"/>
          <w:szCs w:val="32"/>
          <w:lang w:val="en-US" w:eastAsia="zh-CN"/>
        </w:rPr>
        <w:t xml:space="preserve">. </w:t>
      </w:r>
      <w:r>
        <w:rPr>
          <w:rFonts w:hint="eastAsia" w:ascii="仿宋_GB2312" w:hAnsi="华文仿宋"/>
          <w:kern w:val="0"/>
          <w:szCs w:val="32"/>
        </w:rPr>
        <w:t>20</w:t>
      </w:r>
      <w:r>
        <w:rPr>
          <w:rFonts w:hint="eastAsia" w:ascii="仿宋_GB2312" w:hAnsi="华文仿宋"/>
          <w:kern w:val="0"/>
          <w:szCs w:val="32"/>
          <w:lang w:val="en-US" w:eastAsia="zh-CN"/>
        </w:rPr>
        <w:t>24</w:t>
      </w:r>
      <w:r>
        <w:rPr>
          <w:rFonts w:hint="eastAsia" w:ascii="仿宋_GB2312" w:hAnsi="华文仿宋"/>
          <w:kern w:val="0"/>
          <w:szCs w:val="32"/>
        </w:rPr>
        <w:t>年公共场所卫生国家随机监督抽查工作计划表</w:t>
      </w:r>
    </w:p>
    <w:p>
      <w:pPr>
        <w:widowControl/>
        <w:spacing w:line="600" w:lineRule="exact"/>
        <w:ind w:left="1203" w:leftChars="376" w:firstLine="38" w:firstLineChars="12"/>
        <w:rPr>
          <w:rFonts w:ascii="仿宋_GB2312" w:hAnsi="华文仿宋"/>
          <w:kern w:val="0"/>
          <w:szCs w:val="32"/>
        </w:rPr>
        <w:sectPr>
          <w:footerReference r:id="rId3" w:type="default"/>
          <w:footerReference r:id="rId4" w:type="even"/>
          <w:pgSz w:w="11906" w:h="16838"/>
          <w:pgMar w:top="1797" w:right="1440" w:bottom="1797" w:left="1440" w:header="851" w:footer="992" w:gutter="0"/>
          <w:cols w:space="720" w:num="1"/>
          <w:docGrid w:linePitch="435" w:charSpace="200"/>
        </w:sectPr>
      </w:pPr>
    </w:p>
    <w:bookmarkEnd w:id="0"/>
    <w:p>
      <w:pPr>
        <w:spacing w:line="320" w:lineRule="exact"/>
        <w:jc w:val="left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黑体" w:hAnsi="宋体" w:eastAsia="黑体" w:cs="Times New Roman"/>
          <w:sz w:val="30"/>
          <w:szCs w:val="30"/>
        </w:rPr>
        <w:t xml:space="preserve">附表 </w:t>
      </w:r>
      <w:r>
        <w:rPr>
          <w:rFonts w:hint="default" w:ascii="黑体" w:hAnsi="宋体" w:eastAsia="黑体" w:cs="Times New Roman"/>
          <w:sz w:val="30"/>
          <w:szCs w:val="30"/>
        </w:rPr>
        <w:t xml:space="preserve">        </w:t>
      </w:r>
      <w:r>
        <w:rPr>
          <w:rFonts w:hint="default" w:ascii="Times New Roman" w:hAnsi="Times New Roman" w:eastAsia="黑体" w:cs="Times New Roman"/>
          <w:sz w:val="30"/>
          <w:szCs w:val="24"/>
          <w:lang w:bidi="ar-SA"/>
        </w:rPr>
        <w:t xml:space="preserve">        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7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"/>
          <w:sz w:val="44"/>
          <w:szCs w:val="44"/>
        </w:rPr>
        <w:t>年公共场所卫生国家随机监督抽查工作计划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"/>
          <w:sz w:val="44"/>
          <w:szCs w:val="44"/>
          <w:lang w:eastAsia="zh-CN"/>
        </w:rPr>
        <w:t>表</w:t>
      </w:r>
    </w:p>
    <w:tbl>
      <w:tblPr>
        <w:tblStyle w:val="15"/>
        <w:tblW w:w="0" w:type="auto"/>
        <w:tblInd w:w="-3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836"/>
        <w:gridCol w:w="3710"/>
        <w:gridCol w:w="4922"/>
        <w:gridCol w:w="1180"/>
        <w:gridCol w:w="12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监督检查对象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抽查范围和数量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beforeLines="0" w:afterLines="0" w:line="240" w:lineRule="exact"/>
              <w:ind w:right="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检查内容</w:t>
            </w:r>
          </w:p>
        </w:tc>
        <w:tc>
          <w:tcPr>
            <w:tcW w:w="6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beforeLines="0" w:afterLines="0" w:line="240" w:lineRule="exact"/>
              <w:ind w:right="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检测项目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beforeLines="0" w:afterLines="0" w:line="560" w:lineRule="exact"/>
              <w:ind w:right="2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游泳场所(a)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辖区全部人工游泳场所（含学校内游泳场所）</w:t>
            </w:r>
          </w:p>
        </w:tc>
        <w:tc>
          <w:tcPr>
            <w:tcW w:w="3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1.设置卫生管理部门或人员情况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2.建立卫生管理档案情况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3.从业人员健康体检情况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4.设置禁止吸烟警语标志情况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5.对空气、水质、顾客用品用具等进行卫生检测情况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6.公示卫生许可证、卫生信誉度等级和卫生检测信息情况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7.对顾客用品用具进行清洗、消毒、保洁情况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8.实施卫生监督量化分级管理情况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9.住宿场所按照《艾滋病防治条例》放置安全套或者设置安全套发售设施情况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10.生活美容场所违法开展医疗美容情况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 w:right="101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1.游泳池水浑浊度、pH、游离性余氯(d)、化合性余氯(d)、臭氧(d)、氧化还原电位(d)、氰尿酸(d)、尿素、菌落总数、大肠菌群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2.浸脚池水游离性余氯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室内空气中CO</w:t>
            </w: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、CO、PM</w:t>
            </w: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subscript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、甲醛、苯、甲苯、二甲苯(e)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left="10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各地市根据抽取名单抽样检测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住宿场所(a)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辖区总数25%</w:t>
            </w:r>
          </w:p>
        </w:tc>
        <w:tc>
          <w:tcPr>
            <w:tcW w:w="3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3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1.棉织品外观、细菌总数、大肠菌群、金黄色葡萄球菌、pH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2.杯具外观、细菌总数、大肠菌群</w:t>
            </w: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left="10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沐浴场所(a)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辖区总数16%</w:t>
            </w:r>
          </w:p>
        </w:tc>
        <w:tc>
          <w:tcPr>
            <w:tcW w:w="3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3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1.棉织品外观、细菌总数、大肠菌群、金黄色葡萄球菌、pH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2.沐浴用水嗜肺军团菌、池水浊度</w:t>
            </w: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left="10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美容美发场所(a)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辖区总数8%</w:t>
            </w:r>
          </w:p>
        </w:tc>
        <w:tc>
          <w:tcPr>
            <w:tcW w:w="3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3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1.美容美发工具细菌总数、大肠菌群、金黄色葡萄球菌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2.棉织品外观、细菌总数、大肠菌群、金黄色葡萄球菌、pH</w:t>
            </w: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left="10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exac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其他公共场所(a)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辖区全部候车（机、船）室。辖区营业面积2000m</w:t>
            </w: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以上商场（超市）60户，影剧院40户，游艺厅、歌舞厅、音乐厅、博物馆、展览馆共80户，数量不足的全部检查。</w:t>
            </w:r>
          </w:p>
        </w:tc>
        <w:tc>
          <w:tcPr>
            <w:tcW w:w="3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3" w:right="101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室内空气中CO</w:t>
            </w: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、CO、PM</w:t>
            </w: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subscript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、甲醛、苯、甲苯、二甲苯</w:t>
            </w: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superscript"/>
                <w:lang w:val="en-US" w:eastAsia="zh-CN" w:bidi="ar-SA"/>
              </w:rPr>
              <w:t>(e)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left="10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exac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集中空调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0" w:right="101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辖区已抽取公共场所中使用集中空调通风系统的全部检查；其中抽取100户进行检测，数量不足的全部检测。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1.建立集中空调通风系统卫生档案(b)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2.建立预防空气传播性疾病应急预案情况(b)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3.开展集中空调通风系统卫生检测或卫生学评价情况(c)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4.开展集中空调通风系统清洗消毒情况</w:t>
            </w:r>
          </w:p>
        </w:tc>
        <w:tc>
          <w:tcPr>
            <w:tcW w:w="6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1.冷却水中嗜肺军团菌(f)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2.送风质量PM</w:t>
            </w: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subscript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、细菌总数、真菌总数、β-溶血性链球菌、嗜肺军团菌（f)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3.风管内表面积尘量、细菌总数、真菌总数(g)</w:t>
            </w:r>
          </w:p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240" w:lineRule="exact"/>
              <w:ind w:left="10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left="10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pStyle w:val="75"/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240" w:lineRule="exact"/>
        <w:ind w:left="102"/>
        <w:jc w:val="both"/>
        <w:textAlignment w:val="auto"/>
        <w:rPr>
          <w:rFonts w:hint="eastAsia" w:ascii="仿宋_GB2312" w:hAnsi="仿宋_GB2312" w:eastAsia="仿宋_GB2312" w:cs="仿宋_GB2312"/>
          <w:kern w:val="2"/>
          <w:sz w:val="18"/>
          <w:szCs w:val="1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18"/>
          <w:szCs w:val="18"/>
          <w:lang w:val="en-US" w:eastAsia="zh-CN" w:bidi="ar-SA"/>
        </w:rPr>
        <w:t>游泳场所按抽查任务的100%进行检测，住宿场所、沐浴场所、其他公共场所按抽查任务的50%进行检测，美容美发场所按抽查任务的20%进行检测。b.指《公共场所集中空调通风系统卫生规范》（WS 10013-2023）规定的集中空调通风系统卫生档案和预防空气传播性疾病应急预案。c.使用单位需提供集中空调通风系统卫生检测报告复印件。d.游离性余氯、化合性余氯仅使用氯气及游离氯制剂消毒时要求，臭氧仅使用臭氧消毒时要求，氰尿酸仅使用二氯异氰尿酸钠和三氯异氰尿酸消毒时要求</w:t>
      </w:r>
      <w:r>
        <w:rPr>
          <w:rFonts w:hint="eastAsia" w:ascii="仿宋_GB2312" w:hAnsi="仿宋_GB2312" w:eastAsia="仿宋_GB2312" w:cs="仿宋_GB2312"/>
          <w:kern w:val="2"/>
          <w:sz w:val="18"/>
          <w:szCs w:val="18"/>
          <w:lang w:val="en" w:eastAsia="zh-CN" w:bidi="ar-SA"/>
        </w:rPr>
        <w:t>,</w:t>
      </w:r>
      <w:r>
        <w:rPr>
          <w:rFonts w:hint="eastAsia" w:ascii="仿宋_GB2312" w:hAnsi="仿宋_GB2312" w:eastAsia="仿宋_GB2312" w:cs="仿宋_GB2312"/>
          <w:kern w:val="2"/>
          <w:sz w:val="18"/>
          <w:szCs w:val="18"/>
          <w:lang w:val="en-US" w:eastAsia="zh-CN" w:bidi="ar-SA"/>
        </w:rPr>
        <w:t>氧化还原电位仅采用氯和臭氧消毒时要求。e.只对6个月内进行过室内大面积装修的场所检测甲醛、苯、甲苯、二甲苯项目。 f.使用非开放式冷却塔集中空调通风系统的，该指标合理缺项。g.使用无风管集中空调通风系统的，该条要求中所有检测项目均可合理缺项。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200" w:lineRule="atLeast"/>
        <w:ind w:left="0" w:firstLine="0" w:firstLineChars="0"/>
        <w:textAlignment w:val="auto"/>
        <w:rPr>
          <w:rFonts w:ascii="华文仿宋" w:hAnsi="华文仿宋" w:eastAsia="华文仿宋" w:cs="仿宋_GB2312"/>
          <w:sz w:val="20"/>
          <w:szCs w:val="20"/>
        </w:rPr>
      </w:pPr>
    </w:p>
    <w:sectPr>
      <w:headerReference r:id="rId5" w:type="default"/>
      <w:footerReference r:id="rId6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1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- 10 -</w:t>
    </w:r>
    <w:r>
      <w:fldChar w:fldCharType="end"/>
    </w:r>
  </w:p>
  <w:p>
    <w:pPr>
      <w:pStyle w:val="1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50D2A4"/>
    <w:multiLevelType w:val="singleLevel"/>
    <w:tmpl w:val="D450D2A4"/>
    <w:lvl w:ilvl="0" w:tentative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FF7D277E"/>
    <w:multiLevelType w:val="singleLevel"/>
    <w:tmpl w:val="FF7D277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321"/>
  <w:drawingGridVerticalSpacing w:val="435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12"/>
    <w:rsid w:val="00001BC7"/>
    <w:rsid w:val="00014C7F"/>
    <w:rsid w:val="00015ED5"/>
    <w:rsid w:val="000249BD"/>
    <w:rsid w:val="000250E4"/>
    <w:rsid w:val="0004689B"/>
    <w:rsid w:val="00047C63"/>
    <w:rsid w:val="00054F83"/>
    <w:rsid w:val="000566AF"/>
    <w:rsid w:val="00057C2A"/>
    <w:rsid w:val="00065E39"/>
    <w:rsid w:val="00070868"/>
    <w:rsid w:val="000807EF"/>
    <w:rsid w:val="000913FF"/>
    <w:rsid w:val="00096FBA"/>
    <w:rsid w:val="000B20C5"/>
    <w:rsid w:val="000B6F5F"/>
    <w:rsid w:val="000B7575"/>
    <w:rsid w:val="000C647A"/>
    <w:rsid w:val="000E5B4B"/>
    <w:rsid w:val="000E7CF8"/>
    <w:rsid w:val="000F1482"/>
    <w:rsid w:val="000F19EC"/>
    <w:rsid w:val="00117A34"/>
    <w:rsid w:val="001431F2"/>
    <w:rsid w:val="001455AC"/>
    <w:rsid w:val="00160C66"/>
    <w:rsid w:val="00172ADC"/>
    <w:rsid w:val="00182F97"/>
    <w:rsid w:val="0018374C"/>
    <w:rsid w:val="001853D2"/>
    <w:rsid w:val="00185C39"/>
    <w:rsid w:val="001909C4"/>
    <w:rsid w:val="00192793"/>
    <w:rsid w:val="001A2D32"/>
    <w:rsid w:val="001C430F"/>
    <w:rsid w:val="001E61D9"/>
    <w:rsid w:val="0020598F"/>
    <w:rsid w:val="002302E2"/>
    <w:rsid w:val="00236832"/>
    <w:rsid w:val="002437D9"/>
    <w:rsid w:val="00255C39"/>
    <w:rsid w:val="00273981"/>
    <w:rsid w:val="00274FD5"/>
    <w:rsid w:val="002755CC"/>
    <w:rsid w:val="002771E1"/>
    <w:rsid w:val="00282CB2"/>
    <w:rsid w:val="00287078"/>
    <w:rsid w:val="002875F7"/>
    <w:rsid w:val="0029123F"/>
    <w:rsid w:val="002A3404"/>
    <w:rsid w:val="002A695C"/>
    <w:rsid w:val="002C78F1"/>
    <w:rsid w:val="0030062B"/>
    <w:rsid w:val="0030346E"/>
    <w:rsid w:val="00306576"/>
    <w:rsid w:val="0032458B"/>
    <w:rsid w:val="0033029F"/>
    <w:rsid w:val="00344090"/>
    <w:rsid w:val="0036662E"/>
    <w:rsid w:val="00392A30"/>
    <w:rsid w:val="00392A73"/>
    <w:rsid w:val="003B386E"/>
    <w:rsid w:val="003B6B2A"/>
    <w:rsid w:val="003B7190"/>
    <w:rsid w:val="003C324D"/>
    <w:rsid w:val="003C5792"/>
    <w:rsid w:val="003C6086"/>
    <w:rsid w:val="003D0CA4"/>
    <w:rsid w:val="003D2B2B"/>
    <w:rsid w:val="003E5C74"/>
    <w:rsid w:val="003E72FA"/>
    <w:rsid w:val="003F1955"/>
    <w:rsid w:val="003F2354"/>
    <w:rsid w:val="004077F9"/>
    <w:rsid w:val="004352B9"/>
    <w:rsid w:val="00442F12"/>
    <w:rsid w:val="00444A95"/>
    <w:rsid w:val="00444D58"/>
    <w:rsid w:val="00455A3D"/>
    <w:rsid w:val="0046142E"/>
    <w:rsid w:val="00465527"/>
    <w:rsid w:val="00480B19"/>
    <w:rsid w:val="004A04C6"/>
    <w:rsid w:val="004A1E66"/>
    <w:rsid w:val="004C27BE"/>
    <w:rsid w:val="004C2971"/>
    <w:rsid w:val="004D2342"/>
    <w:rsid w:val="004D3157"/>
    <w:rsid w:val="004D324B"/>
    <w:rsid w:val="004E641D"/>
    <w:rsid w:val="004F21A2"/>
    <w:rsid w:val="004F79E4"/>
    <w:rsid w:val="00500B20"/>
    <w:rsid w:val="00503F2E"/>
    <w:rsid w:val="0053569C"/>
    <w:rsid w:val="0054534A"/>
    <w:rsid w:val="0055474B"/>
    <w:rsid w:val="0056574C"/>
    <w:rsid w:val="00595FFA"/>
    <w:rsid w:val="00596C82"/>
    <w:rsid w:val="00596ECE"/>
    <w:rsid w:val="00597DD5"/>
    <w:rsid w:val="005E0DFD"/>
    <w:rsid w:val="005E387F"/>
    <w:rsid w:val="005E4F09"/>
    <w:rsid w:val="005E74A6"/>
    <w:rsid w:val="00605C2D"/>
    <w:rsid w:val="006143F3"/>
    <w:rsid w:val="00616129"/>
    <w:rsid w:val="00623B16"/>
    <w:rsid w:val="00623C0E"/>
    <w:rsid w:val="0062569C"/>
    <w:rsid w:val="006350BD"/>
    <w:rsid w:val="00651334"/>
    <w:rsid w:val="00671EAA"/>
    <w:rsid w:val="006732CD"/>
    <w:rsid w:val="00680037"/>
    <w:rsid w:val="00681905"/>
    <w:rsid w:val="00681D54"/>
    <w:rsid w:val="00684CC9"/>
    <w:rsid w:val="006936DA"/>
    <w:rsid w:val="006C1E95"/>
    <w:rsid w:val="006C4861"/>
    <w:rsid w:val="006D7D21"/>
    <w:rsid w:val="006E1FBA"/>
    <w:rsid w:val="00700D71"/>
    <w:rsid w:val="00705972"/>
    <w:rsid w:val="007133BD"/>
    <w:rsid w:val="00714AC3"/>
    <w:rsid w:val="00720B6A"/>
    <w:rsid w:val="00724AAA"/>
    <w:rsid w:val="00744AF1"/>
    <w:rsid w:val="007461AB"/>
    <w:rsid w:val="00747543"/>
    <w:rsid w:val="00753F9F"/>
    <w:rsid w:val="007573F5"/>
    <w:rsid w:val="0076253C"/>
    <w:rsid w:val="007677C2"/>
    <w:rsid w:val="007978EE"/>
    <w:rsid w:val="007A09E6"/>
    <w:rsid w:val="007E48DC"/>
    <w:rsid w:val="007F6F3C"/>
    <w:rsid w:val="008009DD"/>
    <w:rsid w:val="00816B8F"/>
    <w:rsid w:val="00820F16"/>
    <w:rsid w:val="008211A0"/>
    <w:rsid w:val="00826728"/>
    <w:rsid w:val="00827707"/>
    <w:rsid w:val="00840272"/>
    <w:rsid w:val="00866F59"/>
    <w:rsid w:val="0086708C"/>
    <w:rsid w:val="008808F9"/>
    <w:rsid w:val="0088237B"/>
    <w:rsid w:val="00885B01"/>
    <w:rsid w:val="008B1A2C"/>
    <w:rsid w:val="008C5845"/>
    <w:rsid w:val="008C7C8B"/>
    <w:rsid w:val="008D5528"/>
    <w:rsid w:val="008E2424"/>
    <w:rsid w:val="008E49A3"/>
    <w:rsid w:val="008E4F50"/>
    <w:rsid w:val="008F71FD"/>
    <w:rsid w:val="00922CEC"/>
    <w:rsid w:val="009235D5"/>
    <w:rsid w:val="00925479"/>
    <w:rsid w:val="0093230D"/>
    <w:rsid w:val="009415B6"/>
    <w:rsid w:val="0094510A"/>
    <w:rsid w:val="009458EB"/>
    <w:rsid w:val="00965CCB"/>
    <w:rsid w:val="00971B0E"/>
    <w:rsid w:val="009A2BD1"/>
    <w:rsid w:val="009B4F09"/>
    <w:rsid w:val="009F5B14"/>
    <w:rsid w:val="00A12D62"/>
    <w:rsid w:val="00A25C33"/>
    <w:rsid w:val="00A36256"/>
    <w:rsid w:val="00A56596"/>
    <w:rsid w:val="00A62EE4"/>
    <w:rsid w:val="00A71A86"/>
    <w:rsid w:val="00A83346"/>
    <w:rsid w:val="00A85A8B"/>
    <w:rsid w:val="00A92AFF"/>
    <w:rsid w:val="00AA6688"/>
    <w:rsid w:val="00AB06E8"/>
    <w:rsid w:val="00AE729B"/>
    <w:rsid w:val="00AF1143"/>
    <w:rsid w:val="00B1045D"/>
    <w:rsid w:val="00B15138"/>
    <w:rsid w:val="00B252A7"/>
    <w:rsid w:val="00B350DC"/>
    <w:rsid w:val="00B4394B"/>
    <w:rsid w:val="00B63616"/>
    <w:rsid w:val="00B706D2"/>
    <w:rsid w:val="00B748BC"/>
    <w:rsid w:val="00BA35CD"/>
    <w:rsid w:val="00BB6575"/>
    <w:rsid w:val="00BC0A47"/>
    <w:rsid w:val="00BC54C2"/>
    <w:rsid w:val="00BC79B4"/>
    <w:rsid w:val="00BD4FA2"/>
    <w:rsid w:val="00BE40AE"/>
    <w:rsid w:val="00C1658E"/>
    <w:rsid w:val="00C16C72"/>
    <w:rsid w:val="00C17F56"/>
    <w:rsid w:val="00C32EA5"/>
    <w:rsid w:val="00C37FCF"/>
    <w:rsid w:val="00C51AF2"/>
    <w:rsid w:val="00C5326E"/>
    <w:rsid w:val="00C617C0"/>
    <w:rsid w:val="00C77602"/>
    <w:rsid w:val="00C77E0F"/>
    <w:rsid w:val="00C80A16"/>
    <w:rsid w:val="00C9292D"/>
    <w:rsid w:val="00CA5016"/>
    <w:rsid w:val="00CB0E40"/>
    <w:rsid w:val="00CB4F78"/>
    <w:rsid w:val="00CC749C"/>
    <w:rsid w:val="00CF2559"/>
    <w:rsid w:val="00CF6CD1"/>
    <w:rsid w:val="00D0065B"/>
    <w:rsid w:val="00D0408E"/>
    <w:rsid w:val="00D13AAB"/>
    <w:rsid w:val="00D322C6"/>
    <w:rsid w:val="00D46C5D"/>
    <w:rsid w:val="00D76BD7"/>
    <w:rsid w:val="00D91381"/>
    <w:rsid w:val="00D94A18"/>
    <w:rsid w:val="00DB5602"/>
    <w:rsid w:val="00DD2E79"/>
    <w:rsid w:val="00E22884"/>
    <w:rsid w:val="00E40F7E"/>
    <w:rsid w:val="00E44A13"/>
    <w:rsid w:val="00E47BA2"/>
    <w:rsid w:val="00E7017E"/>
    <w:rsid w:val="00E74F39"/>
    <w:rsid w:val="00E92D4F"/>
    <w:rsid w:val="00EB4392"/>
    <w:rsid w:val="00EB7E0B"/>
    <w:rsid w:val="00ED1187"/>
    <w:rsid w:val="00ED2F2D"/>
    <w:rsid w:val="00EE2B27"/>
    <w:rsid w:val="00EE427F"/>
    <w:rsid w:val="00EE6258"/>
    <w:rsid w:val="00F01CCC"/>
    <w:rsid w:val="00F02D52"/>
    <w:rsid w:val="00F03C9B"/>
    <w:rsid w:val="00F2421B"/>
    <w:rsid w:val="00F25EE3"/>
    <w:rsid w:val="00F314AD"/>
    <w:rsid w:val="00F31AD6"/>
    <w:rsid w:val="00F33CEC"/>
    <w:rsid w:val="00F474C1"/>
    <w:rsid w:val="00F4790F"/>
    <w:rsid w:val="00F55F68"/>
    <w:rsid w:val="00F56977"/>
    <w:rsid w:val="00F63B94"/>
    <w:rsid w:val="00F70B97"/>
    <w:rsid w:val="00F8139F"/>
    <w:rsid w:val="00F95B11"/>
    <w:rsid w:val="00F96001"/>
    <w:rsid w:val="00F961B9"/>
    <w:rsid w:val="00FB2A88"/>
    <w:rsid w:val="00FC5193"/>
    <w:rsid w:val="00FC6E4B"/>
    <w:rsid w:val="00FE7E64"/>
    <w:rsid w:val="01E17490"/>
    <w:rsid w:val="046B1477"/>
    <w:rsid w:val="05F87E0A"/>
    <w:rsid w:val="0D811741"/>
    <w:rsid w:val="0FC45A4B"/>
    <w:rsid w:val="110060F4"/>
    <w:rsid w:val="13D37D39"/>
    <w:rsid w:val="16A707CA"/>
    <w:rsid w:val="17ED7516"/>
    <w:rsid w:val="18583E36"/>
    <w:rsid w:val="193C2548"/>
    <w:rsid w:val="1A643C5B"/>
    <w:rsid w:val="1A840D53"/>
    <w:rsid w:val="1EC91910"/>
    <w:rsid w:val="1EDA0210"/>
    <w:rsid w:val="1FFD4D8D"/>
    <w:rsid w:val="253E77AD"/>
    <w:rsid w:val="2BF000A4"/>
    <w:rsid w:val="2F5DDF6D"/>
    <w:rsid w:val="31063A90"/>
    <w:rsid w:val="31935FAB"/>
    <w:rsid w:val="35713132"/>
    <w:rsid w:val="381A11FA"/>
    <w:rsid w:val="3BEE70BA"/>
    <w:rsid w:val="3CED75D0"/>
    <w:rsid w:val="3D9FE973"/>
    <w:rsid w:val="3E03145D"/>
    <w:rsid w:val="3E2BCC86"/>
    <w:rsid w:val="41BD6C79"/>
    <w:rsid w:val="432E04DD"/>
    <w:rsid w:val="47B56E8B"/>
    <w:rsid w:val="4FD7149E"/>
    <w:rsid w:val="506526F2"/>
    <w:rsid w:val="507150CB"/>
    <w:rsid w:val="53FB0251"/>
    <w:rsid w:val="56EA7348"/>
    <w:rsid w:val="602D40D8"/>
    <w:rsid w:val="633A3CF8"/>
    <w:rsid w:val="65611C97"/>
    <w:rsid w:val="6675452D"/>
    <w:rsid w:val="668D2E4E"/>
    <w:rsid w:val="69BA18D2"/>
    <w:rsid w:val="6DE263AD"/>
    <w:rsid w:val="6F1E00B0"/>
    <w:rsid w:val="74E878AC"/>
    <w:rsid w:val="74EC5F99"/>
    <w:rsid w:val="7B4B0CBA"/>
    <w:rsid w:val="7BBB2983"/>
    <w:rsid w:val="7DBF86DF"/>
    <w:rsid w:val="7F1EF79B"/>
    <w:rsid w:val="9F9E1D14"/>
    <w:rsid w:val="C1BFE58C"/>
    <w:rsid w:val="D5AD8BB3"/>
    <w:rsid w:val="DFBC3D8D"/>
    <w:rsid w:val="E66FE955"/>
    <w:rsid w:val="FF6C0C2B"/>
    <w:rsid w:val="FFFFC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44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annotation text"/>
    <w:basedOn w:val="1"/>
    <w:link w:val="28"/>
    <w:unhideWhenUsed/>
    <w:qFormat/>
    <w:uiPriority w:val="0"/>
    <w:pPr>
      <w:jc w:val="left"/>
    </w:pPr>
    <w:rPr>
      <w:rFonts w:ascii="Calibri" w:hAnsi="Calibri" w:eastAsia="宋体"/>
      <w:sz w:val="21"/>
      <w:szCs w:val="22"/>
    </w:rPr>
  </w:style>
  <w:style w:type="paragraph" w:styleId="6">
    <w:name w:val="Body Text"/>
    <w:basedOn w:val="1"/>
    <w:next w:val="2"/>
    <w:qFormat/>
    <w:uiPriority w:val="0"/>
    <w:pPr>
      <w:spacing w:after="120"/>
    </w:pPr>
    <w:rPr>
      <w:rFonts w:ascii="Times New Roman" w:hAnsi="Times New Roman" w:eastAsia="Times New Roman" w:cs="Times New Roman"/>
      <w:sz w:val="32"/>
      <w:szCs w:val="24"/>
      <w:lang w:bidi="ar-SA"/>
    </w:rPr>
  </w:style>
  <w:style w:type="paragraph" w:styleId="7">
    <w:name w:val="Plain Text"/>
    <w:basedOn w:val="1"/>
    <w:link w:val="39"/>
    <w:qFormat/>
    <w:uiPriority w:val="0"/>
    <w:rPr>
      <w:rFonts w:ascii="宋体" w:hAnsi="Courier New" w:eastAsia="宋体" w:cs="Courier New"/>
      <w:sz w:val="21"/>
      <w:szCs w:val="21"/>
    </w:rPr>
  </w:style>
  <w:style w:type="paragraph" w:styleId="8">
    <w:name w:val="Date"/>
    <w:basedOn w:val="1"/>
    <w:next w:val="1"/>
    <w:link w:val="32"/>
    <w:qFormat/>
    <w:uiPriority w:val="0"/>
    <w:pPr>
      <w:ind w:left="100" w:leftChars="2500"/>
    </w:pPr>
    <w:rPr>
      <w:rFonts w:eastAsia="宋体"/>
      <w:sz w:val="21"/>
    </w:rPr>
  </w:style>
  <w:style w:type="paragraph" w:styleId="9">
    <w:name w:val="Balloon Text"/>
    <w:basedOn w:val="1"/>
    <w:link w:val="26"/>
    <w:qFormat/>
    <w:uiPriority w:val="0"/>
    <w:rPr>
      <w:rFonts w:eastAsia="宋体"/>
      <w:sz w:val="18"/>
      <w:szCs w:val="18"/>
    </w:rPr>
  </w:style>
  <w:style w:type="paragraph" w:styleId="10">
    <w:name w:val="footer"/>
    <w:basedOn w:val="1"/>
    <w:link w:val="5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11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12">
    <w:name w:val="Subtitle"/>
    <w:basedOn w:val="1"/>
    <w:next w:val="1"/>
    <w:link w:val="38"/>
    <w:qFormat/>
    <w:uiPriority w:val="0"/>
    <w:pPr>
      <w:spacing w:before="240" w:after="60" w:line="312" w:lineRule="auto"/>
      <w:outlineLvl w:val="1"/>
    </w:pPr>
    <w:rPr>
      <w:rFonts w:ascii="Cambria" w:hAnsi="Cambria" w:eastAsia="楷体_GB2312"/>
      <w:b/>
      <w:bCs/>
      <w:kern w:val="28"/>
      <w:szCs w:val="32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4">
    <w:name w:val="annotation subject"/>
    <w:basedOn w:val="5"/>
    <w:next w:val="5"/>
    <w:link w:val="22"/>
    <w:qFormat/>
    <w:uiPriority w:val="0"/>
    <w:rPr>
      <w:rFonts w:ascii="Times New Roman" w:hAnsi="Times New Roman"/>
      <w:b/>
      <w:bCs/>
      <w:szCs w:val="24"/>
    </w:rPr>
  </w:style>
  <w:style w:type="table" w:styleId="16">
    <w:name w:val="Table Grid"/>
    <w:basedOn w:val="1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qFormat/>
    <w:uiPriority w:val="0"/>
    <w:rPr>
      <w:sz w:val="21"/>
      <w:szCs w:val="21"/>
    </w:rPr>
  </w:style>
  <w:style w:type="character" w:customStyle="1" w:styleId="21">
    <w:name w:val="访问过的超链接"/>
    <w:unhideWhenUsed/>
    <w:qFormat/>
    <w:uiPriority w:val="99"/>
    <w:rPr>
      <w:color w:val="800080"/>
      <w:u w:val="single"/>
    </w:rPr>
  </w:style>
  <w:style w:type="character" w:customStyle="1" w:styleId="22">
    <w:name w:val="批注主题 Char"/>
    <w:link w:val="14"/>
    <w:qFormat/>
    <w:uiPriority w:val="0"/>
    <w:rPr>
      <w:b/>
      <w:bCs/>
      <w:kern w:val="2"/>
      <w:sz w:val="21"/>
      <w:szCs w:val="24"/>
    </w:rPr>
  </w:style>
  <w:style w:type="character" w:customStyle="1" w:styleId="23">
    <w:name w:val="批注文字 Char2"/>
    <w:semiHidden/>
    <w:qFormat/>
    <w:uiPriority w:val="99"/>
    <w:rPr>
      <w:kern w:val="2"/>
      <w:sz w:val="21"/>
      <w:szCs w:val="22"/>
    </w:rPr>
  </w:style>
  <w:style w:type="character" w:customStyle="1" w:styleId="24">
    <w:name w:val="页脚 Char1"/>
    <w:qFormat/>
    <w:uiPriority w:val="0"/>
    <w:rPr>
      <w:kern w:val="2"/>
      <w:sz w:val="18"/>
      <w:szCs w:val="18"/>
    </w:rPr>
  </w:style>
  <w:style w:type="character" w:customStyle="1" w:styleId="25">
    <w:name w:val="批注主题 Char2"/>
    <w:semiHidden/>
    <w:qFormat/>
    <w:uiPriority w:val="99"/>
    <w:rPr>
      <w:b/>
      <w:bCs/>
      <w:kern w:val="2"/>
      <w:sz w:val="21"/>
      <w:szCs w:val="22"/>
    </w:rPr>
  </w:style>
  <w:style w:type="character" w:customStyle="1" w:styleId="26">
    <w:name w:val="批注框文本 Char"/>
    <w:link w:val="9"/>
    <w:qFormat/>
    <w:uiPriority w:val="0"/>
    <w:rPr>
      <w:kern w:val="2"/>
      <w:sz w:val="18"/>
      <w:szCs w:val="18"/>
    </w:rPr>
  </w:style>
  <w:style w:type="character" w:customStyle="1" w:styleId="27">
    <w:name w:val="页脚 Char3"/>
    <w:semiHidden/>
    <w:qFormat/>
    <w:uiPriority w:val="99"/>
    <w:rPr>
      <w:kern w:val="2"/>
      <w:sz w:val="18"/>
      <w:szCs w:val="18"/>
    </w:rPr>
  </w:style>
  <w:style w:type="character" w:customStyle="1" w:styleId="28">
    <w:name w:val="批注文字 Char3"/>
    <w:link w:val="5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9">
    <w:name w:val="apple-converted-space"/>
    <w:qFormat/>
    <w:uiPriority w:val="0"/>
  </w:style>
  <w:style w:type="character" w:customStyle="1" w:styleId="30">
    <w:name w:val="页脚 Char2"/>
    <w:qFormat/>
    <w:uiPriority w:val="0"/>
    <w:rPr>
      <w:kern w:val="2"/>
      <w:sz w:val="18"/>
      <w:szCs w:val="18"/>
    </w:rPr>
  </w:style>
  <w:style w:type="character" w:customStyle="1" w:styleId="31">
    <w:name w:val="日期 Char4"/>
    <w:qFormat/>
    <w:uiPriority w:val="99"/>
    <w:rPr>
      <w:rFonts w:eastAsia="仿宋_GB2312"/>
      <w:kern w:val="2"/>
      <w:sz w:val="32"/>
      <w:szCs w:val="24"/>
    </w:rPr>
  </w:style>
  <w:style w:type="character" w:customStyle="1" w:styleId="32">
    <w:name w:val="日期 Char"/>
    <w:link w:val="8"/>
    <w:qFormat/>
    <w:uiPriority w:val="0"/>
    <w:rPr>
      <w:kern w:val="2"/>
      <w:sz w:val="21"/>
      <w:szCs w:val="24"/>
    </w:rPr>
  </w:style>
  <w:style w:type="character" w:customStyle="1" w:styleId="33">
    <w:name w:val="纯文本 Char1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4">
    <w:name w:val="批注框文本 Char3"/>
    <w:semiHidden/>
    <w:qFormat/>
    <w:uiPriority w:val="99"/>
    <w:rPr>
      <w:kern w:val="2"/>
      <w:sz w:val="18"/>
      <w:szCs w:val="18"/>
    </w:rPr>
  </w:style>
  <w:style w:type="character" w:customStyle="1" w:styleId="35">
    <w:name w:val="批注文字 Char"/>
    <w:qFormat/>
    <w:uiPriority w:val="0"/>
    <w:rPr>
      <w:kern w:val="2"/>
      <w:sz w:val="21"/>
      <w:szCs w:val="24"/>
    </w:rPr>
  </w:style>
  <w:style w:type="character" w:customStyle="1" w:styleId="36">
    <w:name w:val="批注框文本 Char4"/>
    <w:semiHidden/>
    <w:qFormat/>
    <w:uiPriority w:val="99"/>
    <w:rPr>
      <w:kern w:val="2"/>
      <w:sz w:val="18"/>
      <w:szCs w:val="18"/>
    </w:rPr>
  </w:style>
  <w:style w:type="character" w:customStyle="1" w:styleId="37">
    <w:name w:val="副标题 Char2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8">
    <w:name w:val="副标题 Char"/>
    <w:link w:val="12"/>
    <w:qFormat/>
    <w:uiPriority w:val="0"/>
    <w:rPr>
      <w:rFonts w:ascii="Cambria" w:hAnsi="Cambria" w:eastAsia="楷体_GB2312"/>
      <w:b/>
      <w:bCs/>
      <w:kern w:val="28"/>
      <w:sz w:val="32"/>
      <w:szCs w:val="32"/>
    </w:rPr>
  </w:style>
  <w:style w:type="character" w:customStyle="1" w:styleId="39">
    <w:name w:val="纯文本 Char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0">
    <w:name w:val="页眉 Char2"/>
    <w:semiHidden/>
    <w:qFormat/>
    <w:uiPriority w:val="99"/>
    <w:rPr>
      <w:kern w:val="2"/>
      <w:sz w:val="18"/>
      <w:szCs w:val="18"/>
    </w:rPr>
  </w:style>
  <w:style w:type="character" w:customStyle="1" w:styleId="41">
    <w:name w:val="页眉 Char"/>
    <w:link w:val="11"/>
    <w:qFormat/>
    <w:uiPriority w:val="0"/>
    <w:rPr>
      <w:kern w:val="2"/>
      <w:sz w:val="18"/>
      <w:szCs w:val="18"/>
    </w:rPr>
  </w:style>
  <w:style w:type="character" w:customStyle="1" w:styleId="42">
    <w:name w:val="批注主题 Char3"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43">
    <w:name w:val="批注框文本 Char5"/>
    <w:semiHidden/>
    <w:qFormat/>
    <w:uiPriority w:val="99"/>
    <w:rPr>
      <w:kern w:val="2"/>
      <w:sz w:val="18"/>
      <w:szCs w:val="18"/>
    </w:rPr>
  </w:style>
  <w:style w:type="character" w:customStyle="1" w:styleId="44">
    <w:name w:val="标题 1 Char"/>
    <w:link w:val="3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45">
    <w:name w:val="页眉 Char1"/>
    <w:qFormat/>
    <w:uiPriority w:val="0"/>
    <w:rPr>
      <w:kern w:val="2"/>
      <w:sz w:val="18"/>
      <w:szCs w:val="18"/>
    </w:rPr>
  </w:style>
  <w:style w:type="character" w:customStyle="1" w:styleId="46">
    <w:name w:val="纯文本 Char3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47">
    <w:name w:val="日期 Char1"/>
    <w:qFormat/>
    <w:uiPriority w:val="0"/>
    <w:rPr>
      <w:kern w:val="2"/>
      <w:sz w:val="21"/>
      <w:szCs w:val="24"/>
    </w:rPr>
  </w:style>
  <w:style w:type="character" w:customStyle="1" w:styleId="48">
    <w:name w:val="日期 Char3"/>
    <w:semiHidden/>
    <w:qFormat/>
    <w:uiPriority w:val="99"/>
    <w:rPr>
      <w:kern w:val="2"/>
      <w:sz w:val="21"/>
      <w:szCs w:val="22"/>
    </w:rPr>
  </w:style>
  <w:style w:type="character" w:customStyle="1" w:styleId="49">
    <w:name w:val="批注框文本 Char2"/>
    <w:qFormat/>
    <w:uiPriority w:val="0"/>
    <w:rPr>
      <w:kern w:val="2"/>
      <w:sz w:val="18"/>
      <w:szCs w:val="18"/>
    </w:rPr>
  </w:style>
  <w:style w:type="character" w:customStyle="1" w:styleId="50">
    <w:name w:val="日期 Char2"/>
    <w:qFormat/>
    <w:uiPriority w:val="99"/>
    <w:rPr>
      <w:rFonts w:eastAsia="仿宋_GB2312"/>
      <w:kern w:val="2"/>
      <w:sz w:val="32"/>
      <w:szCs w:val="24"/>
    </w:rPr>
  </w:style>
  <w:style w:type="character" w:customStyle="1" w:styleId="51">
    <w:name w:val="副标题 Char1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52">
    <w:name w:val="纯文本 Char2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3">
    <w:name w:val="批注文字 Char1"/>
    <w:qFormat/>
    <w:uiPriority w:val="0"/>
    <w:rPr>
      <w:kern w:val="2"/>
      <w:sz w:val="21"/>
      <w:szCs w:val="22"/>
    </w:rPr>
  </w:style>
  <w:style w:type="character" w:customStyle="1" w:styleId="54">
    <w:name w:val="批注主题 Char1"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55">
    <w:name w:val="批注框文本 Char1"/>
    <w:qFormat/>
    <w:uiPriority w:val="0"/>
    <w:rPr>
      <w:kern w:val="2"/>
      <w:sz w:val="18"/>
      <w:szCs w:val="18"/>
    </w:rPr>
  </w:style>
  <w:style w:type="character" w:customStyle="1" w:styleId="56">
    <w:name w:val="页脚 Char"/>
    <w:link w:val="10"/>
    <w:qFormat/>
    <w:uiPriority w:val="0"/>
    <w:rPr>
      <w:kern w:val="2"/>
      <w:sz w:val="18"/>
      <w:szCs w:val="18"/>
    </w:rPr>
  </w:style>
  <w:style w:type="paragraph" w:customStyle="1" w:styleId="57">
    <w:name w:val="Char1 Char Char Char Char Char Char"/>
    <w:basedOn w:val="1"/>
    <w:qFormat/>
    <w:uiPriority w:val="0"/>
    <w:rPr>
      <w:rFonts w:ascii="Tahoma" w:hAnsi="Tahoma" w:eastAsia="宋体"/>
      <w:sz w:val="24"/>
      <w:szCs w:val="20"/>
    </w:rPr>
  </w:style>
  <w:style w:type="paragraph" w:customStyle="1" w:styleId="58">
    <w:name w:val="_Style 7"/>
    <w:next w:val="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Char Char1"/>
    <w:basedOn w:val="1"/>
    <w:qFormat/>
    <w:uiPriority w:val="0"/>
    <w:rPr>
      <w:rFonts w:eastAsia="宋体"/>
      <w:sz w:val="21"/>
    </w:rPr>
  </w:style>
  <w:style w:type="paragraph" w:customStyle="1" w:styleId="6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61">
    <w:name w:val="教材正文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 w:eastAsia="宋体"/>
      <w:sz w:val="24"/>
    </w:rPr>
  </w:style>
  <w:style w:type="paragraph" w:customStyle="1" w:styleId="62">
    <w:name w:val="Revision"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3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64">
    <w:name w:val="_Style 5"/>
    <w:next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5">
    <w:name w:val="Char Char"/>
    <w:basedOn w:val="1"/>
    <w:next w:val="1"/>
    <w:qFormat/>
    <w:uiPriority w:val="0"/>
    <w:pPr>
      <w:spacing w:line="240" w:lineRule="atLeast"/>
      <w:ind w:left="420" w:firstLine="420"/>
      <w:jc w:val="left"/>
    </w:pPr>
    <w:rPr>
      <w:rFonts w:eastAsia="宋体"/>
      <w:kern w:val="0"/>
      <w:sz w:val="21"/>
      <w:szCs w:val="21"/>
    </w:rPr>
  </w:style>
  <w:style w:type="paragraph" w:customStyle="1" w:styleId="66">
    <w:name w:val="_Style 15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7">
    <w:name w:val="_Style 2"/>
    <w:basedOn w:val="1"/>
    <w:next w:val="1"/>
    <w:qFormat/>
    <w:uiPriority w:val="0"/>
    <w:pPr>
      <w:spacing w:line="240" w:lineRule="atLeast"/>
      <w:ind w:left="420" w:firstLine="420"/>
      <w:jc w:val="left"/>
    </w:pPr>
    <w:rPr>
      <w:rFonts w:eastAsia="宋体"/>
      <w:sz w:val="21"/>
    </w:rPr>
  </w:style>
  <w:style w:type="paragraph" w:styleId="68">
    <w:name w:val="List Paragraph"/>
    <w:basedOn w:val="1"/>
    <w:qFormat/>
    <w:uiPriority w:val="34"/>
    <w:pPr>
      <w:ind w:firstLine="420" w:firstLineChars="200"/>
    </w:pPr>
    <w:rPr>
      <w:rFonts w:eastAsia="宋体"/>
      <w:sz w:val="21"/>
    </w:rPr>
  </w:style>
  <w:style w:type="paragraph" w:customStyle="1" w:styleId="69">
    <w:name w:val="_Style 16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0">
    <w:name w:val="样式1"/>
    <w:basedOn w:val="1"/>
    <w:qFormat/>
    <w:uiPriority w:val="0"/>
    <w:rPr>
      <w:rFonts w:ascii="仿宋_GB2312"/>
      <w:sz w:val="28"/>
    </w:rPr>
  </w:style>
  <w:style w:type="paragraph" w:customStyle="1" w:styleId="71">
    <w:name w:val="Char"/>
    <w:basedOn w:val="1"/>
    <w:next w:val="1"/>
    <w:qFormat/>
    <w:uiPriority w:val="0"/>
    <w:pPr>
      <w:spacing w:line="240" w:lineRule="atLeast"/>
      <w:ind w:left="420" w:firstLine="420"/>
      <w:jc w:val="left"/>
    </w:pPr>
    <w:rPr>
      <w:rFonts w:eastAsia="宋体"/>
      <w:kern w:val="0"/>
      <w:sz w:val="21"/>
      <w:szCs w:val="21"/>
    </w:rPr>
  </w:style>
  <w:style w:type="paragraph" w:styleId="72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73">
    <w:name w:val="中等深浅网格 11"/>
    <w:basedOn w:val="15"/>
    <w:qFormat/>
    <w:uiPriority w:val="62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paragraph" w:customStyle="1" w:styleId="7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 w:val="21"/>
      <w:szCs w:val="21"/>
    </w:rPr>
  </w:style>
  <w:style w:type="paragraph" w:customStyle="1" w:styleId="75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Powerise</Company>
  <Pages>10</Pages>
  <Words>762</Words>
  <Characters>4347</Characters>
  <Lines>36</Lines>
  <Paragraphs>10</Paragraphs>
  <TotalTime>0</TotalTime>
  <ScaleCrop>false</ScaleCrop>
  <LinksUpToDate>false</LinksUpToDate>
  <CharactersWithSpaces>5099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2018-03-04T10:49:00Z</dcterms:created>
  <dc:creator>vv</dc:creator>
  <cp:lastModifiedBy>祁雪丹</cp:lastModifiedBy>
  <cp:lastPrinted>2020-04-05T11:06:00Z</cp:lastPrinted>
  <dcterms:modified xsi:type="dcterms:W3CDTF">2024-05-29T17:07:56Z</dcterms:modified>
  <dc:title>国家卫生和计划生育委员会办公厅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