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CESI黑体-GB2312" w:hAnsi="CESI黑体-GB2312" w:eastAsia="CESI黑体-GB2312" w:cs="CESI黑体-GB2312"/>
          <w:b w:val="0"/>
          <w:bCs w:val="0"/>
          <w:color w:val="000000"/>
          <w:sz w:val="32"/>
          <w:szCs w:val="32"/>
          <w:lang w:val="en-US" w:eastAsia="zh-CN"/>
        </w:rPr>
      </w:pPr>
      <w:bookmarkStart w:id="54" w:name="_GoBack"/>
      <w:bookmarkEnd w:id="54"/>
      <w:r>
        <w:rPr>
          <w:rFonts w:hint="eastAsia" w:ascii="CESI黑体-GB2312" w:hAnsi="CESI黑体-GB2312" w:eastAsia="CESI黑体-GB2312" w:cs="CESI黑体-GB2312"/>
          <w:b w:val="0"/>
          <w:bCs w:val="0"/>
          <w:color w:val="00000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CESI黑体-GB2312" w:hAnsi="CESI黑体-GB2312" w:eastAsia="CESI黑体-GB2312" w:cs="CESI黑体-GB2312"/>
          <w:b w:val="0"/>
          <w:bCs w:val="0"/>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深圳市未成年人救助保护中心修缮和功能</w:t>
      </w:r>
    </w:p>
    <w:p>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val="en-US" w:eastAsia="zh-CN"/>
        </w:rPr>
        <w:t>提升工程</w:t>
      </w:r>
      <w:r>
        <w:rPr>
          <w:rFonts w:hint="default" w:ascii="方正小标宋简体" w:hAnsi="方正小标宋简体" w:eastAsia="方正小标宋简体" w:cs="方正小标宋简体"/>
          <w:b w:val="0"/>
          <w:bCs w:val="0"/>
          <w:color w:val="000000"/>
          <w:sz w:val="44"/>
          <w:szCs w:val="44"/>
          <w:lang w:eastAsia="zh-CN"/>
        </w:rPr>
        <w:t>项目</w:t>
      </w:r>
      <w:r>
        <w:rPr>
          <w:rFonts w:hint="eastAsia" w:ascii="方正小标宋简体" w:hAnsi="方正小标宋简体" w:eastAsia="方正小标宋简体" w:cs="方正小标宋简体"/>
          <w:b w:val="0"/>
          <w:bCs w:val="0"/>
          <w:color w:val="000000"/>
          <w:sz w:val="44"/>
          <w:szCs w:val="44"/>
          <w:lang w:eastAsia="zh-CN"/>
        </w:rPr>
        <w:t>设计方案</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320" w:firstLineChars="100"/>
        <w:jc w:val="center"/>
        <w:textAlignment w:val="auto"/>
        <w:outlineLvl w:val="1"/>
        <w:rPr>
          <w:rFonts w:hint="default" w:ascii="楷体_GB2312" w:hAnsi="楷体_GB2312" w:eastAsia="楷体_GB2312" w:cs="楷体_GB2312"/>
          <w:b w:val="0"/>
          <w:bCs w:val="0"/>
          <w:spacing w:val="0"/>
          <w:kern w:val="0"/>
          <w:sz w:val="32"/>
          <w:szCs w:val="32"/>
          <w:lang w:eastAsia="zh-CN"/>
        </w:rPr>
      </w:pPr>
      <w:r>
        <w:rPr>
          <w:rFonts w:hint="default" w:ascii="楷体_GB2312" w:hAnsi="楷体_GB2312" w:eastAsia="楷体_GB2312" w:cs="楷体_GB2312"/>
          <w:b w:val="0"/>
          <w:bCs w:val="0"/>
          <w:spacing w:val="0"/>
          <w:kern w:val="0"/>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outlineLvl w:val="0"/>
        <w:rPr>
          <w:rFonts w:hint="default" w:ascii="黑体" w:hAnsi="黑体" w:eastAsia="黑体" w:cs="Times New Roman"/>
          <w:spacing w:val="0"/>
          <w:kern w:val="0"/>
          <w:sz w:val="32"/>
          <w:szCs w:val="32"/>
        </w:rPr>
      </w:pPr>
      <w:r>
        <w:rPr>
          <w:rFonts w:hint="eastAsia" w:ascii="黑体" w:hAnsi="黑体" w:eastAsia="黑体" w:cs="Times New Roman"/>
          <w:spacing w:val="0"/>
          <w:kern w:val="0"/>
          <w:sz w:val="32"/>
          <w:szCs w:val="32"/>
        </w:rPr>
        <w:t>一、</w:t>
      </w:r>
      <w:r>
        <w:rPr>
          <w:rFonts w:hint="default" w:ascii="黑体" w:hAnsi="黑体" w:eastAsia="黑体" w:cs="Times New Roman"/>
          <w:spacing w:val="0"/>
          <w:kern w:val="0"/>
          <w:sz w:val="32"/>
          <w:szCs w:val="32"/>
        </w:rPr>
        <w:t>项目概况</w:t>
      </w:r>
    </w:p>
    <w:p>
      <w:pPr>
        <w:keepNext w:val="0"/>
        <w:keepLines w:val="0"/>
        <w:pageBreakBefore w:val="0"/>
        <w:widowControl w:val="0"/>
        <w:kinsoku/>
        <w:wordWrap/>
        <w:overflowPunct/>
        <w:topLinePunct w:val="0"/>
        <w:autoSpaceDE/>
        <w:autoSpaceDN/>
        <w:bidi w:val="0"/>
        <w:adjustRightInd w:val="0"/>
        <w:snapToGrid w:val="0"/>
        <w:spacing w:line="560" w:lineRule="exact"/>
        <w:ind w:left="0" w:firstLine="642" w:firstLineChars="200"/>
        <w:jc w:val="both"/>
        <w:textAlignment w:val="auto"/>
        <w:outlineLvl w:val="0"/>
        <w:rPr>
          <w:rFonts w:hint="eastAsia" w:ascii="楷体_GB2312" w:hAnsi="楷体_GB2312" w:eastAsia="楷体_GB2312" w:cs="楷体_GB2312"/>
          <w:b/>
          <w:bCs/>
          <w:spacing w:val="0"/>
          <w:kern w:val="0"/>
          <w:sz w:val="32"/>
          <w:szCs w:val="32"/>
          <w:lang w:eastAsia="zh-CN"/>
        </w:rPr>
      </w:pPr>
      <w:r>
        <w:rPr>
          <w:rFonts w:hint="eastAsia" w:ascii="楷体_GB2312" w:hAnsi="楷体_GB2312" w:eastAsia="楷体_GB2312" w:cs="楷体_GB2312"/>
          <w:b/>
          <w:bCs/>
          <w:spacing w:val="0"/>
          <w:kern w:val="0"/>
          <w:sz w:val="32"/>
          <w:szCs w:val="32"/>
        </w:rPr>
        <w:t>（一）项目背景</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 w:eastAsia="仿宋_GB2312" w:cs="Times New Roman"/>
          <w:spacing w:val="0"/>
          <w:kern w:val="0"/>
          <w:sz w:val="32"/>
          <w:szCs w:val="32"/>
        </w:rPr>
      </w:pPr>
      <w:r>
        <w:rPr>
          <w:rFonts w:hint="eastAsia" w:ascii="仿宋_GB2312" w:hAnsi="仿宋" w:eastAsia="仿宋_GB2312" w:cs="Times New Roman"/>
          <w:spacing w:val="0"/>
          <w:kern w:val="0"/>
          <w:sz w:val="32"/>
          <w:szCs w:val="32"/>
          <w:lang w:eastAsia="zh-CN"/>
        </w:rPr>
        <w:t>2021年2月，市未保中心成立后，市民政局将原市救助管理站的固定资产“深圳市少年儿童救助保护大楼”划拨至市未保中心。</w:t>
      </w:r>
      <w:r>
        <w:rPr>
          <w:rFonts w:hint="eastAsia" w:ascii="仿宋_GB2312" w:hAnsi="仿宋" w:eastAsia="仿宋_GB2312" w:cs="Times New Roman"/>
          <w:spacing w:val="0"/>
          <w:kern w:val="0"/>
          <w:sz w:val="32"/>
          <w:szCs w:val="32"/>
        </w:rPr>
        <w:t>由于原有的“深圳市少年儿童救助保护大楼”已出现设施老化现象，结构存在安全隐患，且其设计布局与功能已无法满足现代未成年人救助保护工作的需求，尤其是“监管”痕迹的外观与当前“未成年人优先”的儿童保护理念及深圳的城市定位存在明显的冲突。因此，计划实施此</w:t>
      </w:r>
      <w:r>
        <w:rPr>
          <w:rFonts w:hint="default" w:ascii="仿宋_GB2312" w:hAnsi="仿宋" w:eastAsia="仿宋_GB2312" w:cs="Times New Roman"/>
          <w:spacing w:val="0"/>
          <w:kern w:val="0"/>
          <w:sz w:val="32"/>
          <w:szCs w:val="32"/>
        </w:rPr>
        <w:t>项目</w:t>
      </w:r>
      <w:r>
        <w:rPr>
          <w:rFonts w:hint="eastAsia" w:ascii="仿宋_GB2312" w:hAnsi="仿宋" w:eastAsia="仿宋_GB2312" w:cs="Times New Roman"/>
          <w:spacing w:val="0"/>
          <w:kern w:val="0"/>
          <w:sz w:val="32"/>
          <w:szCs w:val="32"/>
        </w:rPr>
        <w:t>，旨在确保大楼的安全效能，优化外观和空间布局，提高使用效率，为困境儿童营造一个更加舒适、和谐的生活、教育和疗愈环境，同时满足市级未成年人保护指挥调度、市级未成年人保护力量培育和未成年人思想道德教育等需求，更好地服务于我市未成年人救助保护工作，完善我市儿童福利供给的基础设施，推动“幼有善育”基本公共服务体系的建设。</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2" w:firstLineChars="200"/>
        <w:jc w:val="both"/>
        <w:textAlignment w:val="auto"/>
        <w:rPr>
          <w:rFonts w:hint="default" w:ascii="楷体_GB2312" w:hAnsi="楷体_GB2312" w:eastAsia="楷体_GB2312" w:cs="楷体_GB2312"/>
          <w:b/>
          <w:bCs/>
          <w:spacing w:val="0"/>
          <w:kern w:val="0"/>
          <w:sz w:val="32"/>
          <w:szCs w:val="32"/>
        </w:rPr>
      </w:pPr>
      <w:r>
        <w:rPr>
          <w:rFonts w:hint="eastAsia" w:ascii="楷体_GB2312" w:hAnsi="楷体_GB2312" w:eastAsia="楷体_GB2312" w:cs="楷体_GB2312"/>
          <w:b/>
          <w:bCs/>
          <w:spacing w:val="0"/>
          <w:kern w:val="0"/>
          <w:sz w:val="32"/>
          <w:szCs w:val="32"/>
          <w:lang w:eastAsia="zh-CN"/>
        </w:rPr>
        <w:t>（二）</w:t>
      </w:r>
      <w:r>
        <w:rPr>
          <w:rFonts w:hint="default" w:ascii="楷体_GB2312" w:hAnsi="楷体_GB2312" w:eastAsia="楷体_GB2312" w:cs="楷体_GB2312"/>
          <w:b/>
          <w:bCs/>
          <w:spacing w:val="0"/>
          <w:kern w:val="0"/>
          <w:sz w:val="32"/>
          <w:szCs w:val="32"/>
        </w:rPr>
        <w:t>项目现状</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0" w:firstLineChars="200"/>
        <w:jc w:val="both"/>
        <w:textAlignment w:val="auto"/>
        <w:rPr>
          <w:rFonts w:hint="eastAsia" w:ascii="仿宋_GB2312" w:hAnsi="仿宋" w:eastAsia="仿宋_GB2312" w:cs="Times New Roman"/>
          <w:spacing w:val="0"/>
          <w:kern w:val="0"/>
          <w:sz w:val="32"/>
          <w:szCs w:val="32"/>
          <w:lang w:val="en-US" w:eastAsia="zh-CN"/>
        </w:rPr>
      </w:pPr>
      <w:r>
        <w:rPr>
          <w:rFonts w:hint="default" w:ascii="仿宋_GB2312" w:hAnsi="仿宋" w:eastAsia="仿宋_GB2312" w:cs="Times New Roman"/>
          <w:spacing w:val="0"/>
          <w:kern w:val="0"/>
          <w:sz w:val="32"/>
          <w:szCs w:val="32"/>
          <w:lang w:eastAsia="zh-CN"/>
        </w:rPr>
        <w:t>项目位于深圳市罗湖区北环大道1032号市救助管理站大院内。原</w:t>
      </w:r>
      <w:r>
        <w:rPr>
          <w:rFonts w:hint="eastAsia" w:ascii="仿宋_GB2312" w:hAnsi="仿宋" w:eastAsia="仿宋_GB2312" w:cs="Times New Roman"/>
          <w:spacing w:val="0"/>
          <w:kern w:val="0"/>
          <w:sz w:val="32"/>
          <w:szCs w:val="32"/>
          <w:lang w:eastAsia="zh-CN"/>
        </w:rPr>
        <w:t>“深圳</w:t>
      </w:r>
      <w:r>
        <w:rPr>
          <w:rFonts w:hint="default" w:ascii="仿宋_GB2312" w:hAnsi="仿宋" w:eastAsia="仿宋_GB2312" w:cs="Times New Roman"/>
          <w:spacing w:val="0"/>
          <w:kern w:val="0"/>
          <w:sz w:val="32"/>
          <w:szCs w:val="32"/>
          <w:lang w:eastAsia="zh-CN"/>
        </w:rPr>
        <w:t>市少年儿童救助保护大楼</w:t>
      </w:r>
      <w:r>
        <w:rPr>
          <w:rFonts w:hint="eastAsia" w:ascii="仿宋_GB2312" w:hAnsi="仿宋" w:eastAsia="仿宋_GB2312" w:cs="Times New Roman"/>
          <w:spacing w:val="0"/>
          <w:kern w:val="0"/>
          <w:sz w:val="32"/>
          <w:szCs w:val="32"/>
          <w:lang w:eastAsia="zh-CN"/>
        </w:rPr>
        <w:t>”</w:t>
      </w:r>
      <w:r>
        <w:rPr>
          <w:rFonts w:hint="default" w:ascii="仿宋_GB2312" w:hAnsi="仿宋" w:eastAsia="仿宋_GB2312" w:cs="Times New Roman"/>
          <w:spacing w:val="0"/>
          <w:kern w:val="0"/>
          <w:sz w:val="32"/>
          <w:szCs w:val="32"/>
          <w:lang w:eastAsia="zh-CN"/>
        </w:rPr>
        <w:t>系深圳市政府</w:t>
      </w:r>
      <w:r>
        <w:rPr>
          <w:rFonts w:hint="eastAsia" w:ascii="仿宋_GB2312" w:hAnsi="仿宋" w:eastAsia="仿宋_GB2312" w:cs="Times New Roman"/>
          <w:spacing w:val="0"/>
          <w:kern w:val="0"/>
          <w:sz w:val="32"/>
          <w:szCs w:val="32"/>
          <w:lang w:eastAsia="zh-CN"/>
        </w:rPr>
        <w:t>“</w:t>
      </w:r>
      <w:r>
        <w:rPr>
          <w:rFonts w:hint="default" w:ascii="仿宋_GB2312" w:hAnsi="仿宋" w:eastAsia="仿宋_GB2312" w:cs="Times New Roman"/>
          <w:spacing w:val="0"/>
          <w:kern w:val="0"/>
          <w:sz w:val="32"/>
          <w:szCs w:val="32"/>
          <w:lang w:eastAsia="zh-CN"/>
        </w:rPr>
        <w:t>十一五</w:t>
      </w:r>
      <w:r>
        <w:rPr>
          <w:rFonts w:hint="eastAsia" w:ascii="仿宋_GB2312" w:hAnsi="仿宋" w:eastAsia="仿宋_GB2312" w:cs="Times New Roman"/>
          <w:spacing w:val="0"/>
          <w:kern w:val="0"/>
          <w:sz w:val="32"/>
          <w:szCs w:val="32"/>
          <w:lang w:eastAsia="zh-CN"/>
        </w:rPr>
        <w:t>”</w:t>
      </w:r>
      <w:r>
        <w:rPr>
          <w:rFonts w:hint="default" w:ascii="仿宋_GB2312" w:hAnsi="仿宋" w:eastAsia="仿宋_GB2312" w:cs="Times New Roman"/>
          <w:spacing w:val="0"/>
          <w:kern w:val="0"/>
          <w:sz w:val="32"/>
          <w:szCs w:val="32"/>
          <w:lang w:eastAsia="zh-CN"/>
        </w:rPr>
        <w:t>期间建设的针对流浪未成年人救助保护的专门设施</w:t>
      </w:r>
      <w:r>
        <w:rPr>
          <w:rFonts w:hint="eastAsia" w:ascii="仿宋_GB2312" w:hAnsi="仿宋" w:eastAsia="仿宋_GB2312" w:cs="Times New Roman"/>
          <w:spacing w:val="0"/>
          <w:kern w:val="0"/>
          <w:sz w:val="32"/>
          <w:szCs w:val="32"/>
          <w:lang w:eastAsia="zh-CN"/>
        </w:rPr>
        <w:t>，</w:t>
      </w:r>
      <w:r>
        <w:rPr>
          <w:rFonts w:hint="eastAsia" w:ascii="仿宋_GB2312" w:hAnsi="仿宋" w:eastAsia="仿宋_GB2312" w:cs="Times New Roman"/>
          <w:spacing w:val="0"/>
          <w:kern w:val="0"/>
          <w:sz w:val="32"/>
          <w:szCs w:val="32"/>
          <w:lang w:val="en-US" w:eastAsia="zh-CN"/>
        </w:rPr>
        <w:t>建筑面积7161.82平方米，2006年7月立项，2009年8月开工，2011年9月竣工验收，于2011年建成并投入使用，功能定位为解决对流浪少年儿童“救助、管理、教育、保护”的需要</w:t>
      </w:r>
      <w:r>
        <w:rPr>
          <w:rFonts w:hint="eastAsia" w:ascii="仿宋_GB2312" w:hAnsi="仿宋" w:eastAsia="仿宋_GB2312" w:cs="Times New Roman"/>
          <w:spacing w:val="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2" w:firstLineChars="200"/>
        <w:jc w:val="both"/>
        <w:textAlignment w:val="auto"/>
        <w:rPr>
          <w:rFonts w:hint="eastAsia" w:ascii="Times New Roman" w:hAnsi="Times New Roman" w:eastAsia="宋体" w:cs="Times New Roman"/>
          <w:sz w:val="28"/>
          <w:szCs w:val="28"/>
          <w:lang w:val="en-US" w:eastAsia="zh-CN"/>
        </w:rPr>
      </w:pPr>
      <w:r>
        <w:rPr>
          <w:rFonts w:hint="eastAsia" w:ascii="仿宋_GB2312" w:hAnsi="仿宋" w:eastAsia="仿宋_GB2312" w:cs="Times New Roman"/>
          <w:b/>
          <w:bCs/>
          <w:spacing w:val="0"/>
          <w:kern w:val="0"/>
          <w:sz w:val="32"/>
          <w:szCs w:val="32"/>
          <w:lang w:val="en-US" w:eastAsia="zh-CN"/>
        </w:rPr>
        <w:t>1</w:t>
      </w:r>
      <w:r>
        <w:rPr>
          <w:rFonts w:hint="default" w:ascii="仿宋_GB2312" w:hAnsi="仿宋" w:eastAsia="仿宋_GB2312" w:cs="Times New Roman"/>
          <w:b/>
          <w:bCs/>
          <w:spacing w:val="0"/>
          <w:kern w:val="0"/>
          <w:sz w:val="32"/>
          <w:szCs w:val="32"/>
          <w:lang w:eastAsia="zh-CN"/>
        </w:rPr>
        <w:t>.</w:t>
      </w:r>
      <w:r>
        <w:rPr>
          <w:rFonts w:hint="eastAsia" w:ascii="仿宋_GB2312" w:hAnsi="仿宋" w:eastAsia="仿宋_GB2312" w:cs="Times New Roman"/>
          <w:b/>
          <w:bCs/>
          <w:spacing w:val="0"/>
          <w:kern w:val="0"/>
          <w:sz w:val="32"/>
          <w:szCs w:val="32"/>
          <w:lang w:val="en-US" w:eastAsia="zh-CN"/>
        </w:rPr>
        <w:t>原定位规划建设的大楼难以满足新形势下未成年人保护需求。</w:t>
      </w:r>
      <w:r>
        <w:rPr>
          <w:rFonts w:hint="eastAsia" w:ascii="仿宋_GB2312" w:hAnsi="仿宋" w:eastAsia="仿宋_GB2312" w:cs="Times New Roman"/>
          <w:spacing w:val="0"/>
          <w:kern w:val="0"/>
          <w:sz w:val="32"/>
          <w:szCs w:val="32"/>
          <w:lang w:val="en-US" w:eastAsia="zh-CN"/>
        </w:rPr>
        <w:t>由于原功能定位等原因，目前未保大楼存在房间功能布局单一过时、空间利用率低、监管痕迹明显的问题，难以适应新形势下未成年人保护复杂化、差异化、满足更广泛的未成年人社会福利发展的需求，与建设“幼有善育”的适度普惠未成年人福利的发展要求以及加强困境未成年人思想道德建设、心理健康教育、丰富精神文化生活等国家政策要求不相匹配。</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2" w:firstLineChars="200"/>
        <w:jc w:val="both"/>
        <w:textAlignment w:val="auto"/>
        <w:rPr>
          <w:rFonts w:hint="default" w:ascii="Times New Roman" w:hAnsi="Times New Roman" w:eastAsia="宋体"/>
          <w:b/>
          <w:bCs/>
          <w:szCs w:val="24"/>
          <w:lang w:val="en-US" w:eastAsia="zh-CN"/>
        </w:rPr>
      </w:pPr>
      <w:r>
        <w:rPr>
          <w:rFonts w:hint="eastAsia" w:ascii="仿宋_GB2312" w:hAnsi="仿宋" w:eastAsia="仿宋_GB2312" w:cs="Times New Roman"/>
          <w:b/>
          <w:bCs/>
          <w:spacing w:val="0"/>
          <w:kern w:val="0"/>
          <w:sz w:val="32"/>
          <w:szCs w:val="32"/>
          <w:lang w:val="en-US" w:eastAsia="zh-CN"/>
        </w:rPr>
        <w:t>2</w:t>
      </w:r>
      <w:r>
        <w:rPr>
          <w:rFonts w:hint="default" w:ascii="仿宋_GB2312" w:hAnsi="仿宋" w:eastAsia="仿宋_GB2312" w:cs="Times New Roman"/>
          <w:b/>
          <w:bCs/>
          <w:spacing w:val="0"/>
          <w:kern w:val="0"/>
          <w:sz w:val="32"/>
          <w:szCs w:val="32"/>
          <w:lang w:eastAsia="zh-CN"/>
        </w:rPr>
        <w:t>.</w:t>
      </w:r>
      <w:r>
        <w:rPr>
          <w:rFonts w:hint="eastAsia" w:ascii="仿宋_GB2312" w:hAnsi="仿宋" w:eastAsia="仿宋_GB2312" w:cs="Times New Roman"/>
          <w:b/>
          <w:bCs/>
          <w:spacing w:val="0"/>
          <w:kern w:val="0"/>
          <w:sz w:val="32"/>
          <w:szCs w:val="32"/>
          <w:lang w:val="en-US" w:eastAsia="zh-CN"/>
        </w:rPr>
        <w:t>大楼结构和设施老化破旧，存在安全隐患</w:t>
      </w:r>
      <w:r>
        <w:rPr>
          <w:rFonts w:hint="default" w:ascii="仿宋_GB2312" w:hAnsi="仿宋" w:eastAsia="仿宋_GB2312" w:cs="Times New Roman"/>
          <w:b/>
          <w:bCs/>
          <w:spacing w:val="0"/>
          <w:kern w:val="0"/>
          <w:sz w:val="32"/>
          <w:szCs w:val="32"/>
          <w:lang w:eastAsia="zh-CN"/>
        </w:rPr>
        <w:t>。</w:t>
      </w:r>
      <w:r>
        <w:rPr>
          <w:rFonts w:hint="eastAsia" w:ascii="仿宋_GB2312" w:hAnsi="仿宋" w:eastAsia="仿宋_GB2312" w:cs="Times New Roman"/>
          <w:spacing w:val="0"/>
          <w:kern w:val="0"/>
          <w:sz w:val="32"/>
          <w:szCs w:val="32"/>
          <w:lang w:val="en-US" w:eastAsia="zh-CN"/>
        </w:rPr>
        <w:t>由于已经投入使用十多年，未保大楼出现了防水层老化、防水保护层鼓包开裂、墙体和屋面漏水、墙面大面积发黑发黄、墙面开裂脱落等问题，存在较大安全隐患。现有建筑外观与“未成年人优先”的现代儿童保护理念和深圳城市定位</w:t>
      </w:r>
      <w:r>
        <w:rPr>
          <w:rFonts w:hint="default" w:ascii="仿宋_GB2312" w:hAnsi="仿宋" w:eastAsia="仿宋_GB2312" w:cs="Times New Roman"/>
          <w:spacing w:val="0"/>
          <w:kern w:val="0"/>
          <w:sz w:val="32"/>
          <w:szCs w:val="32"/>
          <w:lang w:eastAsia="zh-CN"/>
        </w:rPr>
        <w:t>不符</w:t>
      </w:r>
      <w:r>
        <w:rPr>
          <w:rFonts w:hint="eastAsia" w:ascii="仿宋_GB2312" w:hAnsi="仿宋" w:eastAsia="仿宋_GB2312" w:cs="Times New Roman"/>
          <w:spacing w:val="0"/>
          <w:kern w:val="0"/>
          <w:sz w:val="32"/>
          <w:szCs w:val="32"/>
          <w:lang w:val="en-US"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b w:val="0"/>
          <w:bCs w:val="0"/>
          <w:spacing w:val="0"/>
          <w:kern w:val="0"/>
          <w:sz w:val="32"/>
          <w:szCs w:val="32"/>
          <w:lang w:eastAsia="zh-CN"/>
        </w:rPr>
        <w:t>此外，在</w:t>
      </w:r>
      <w:r>
        <w:rPr>
          <w:rFonts w:hint="eastAsia" w:ascii="仿宋_GB2312" w:hAnsi="仿宋" w:eastAsia="仿宋_GB2312" w:cs="Times New Roman"/>
          <w:b w:val="0"/>
          <w:bCs w:val="0"/>
          <w:spacing w:val="0"/>
          <w:kern w:val="0"/>
          <w:sz w:val="32"/>
          <w:szCs w:val="32"/>
          <w:lang w:val="en-US" w:eastAsia="zh-CN"/>
        </w:rPr>
        <w:t>消防设施</w:t>
      </w:r>
      <w:r>
        <w:rPr>
          <w:rFonts w:hint="default" w:ascii="仿宋_GB2312" w:hAnsi="仿宋" w:eastAsia="仿宋_GB2312" w:cs="Times New Roman"/>
          <w:b w:val="0"/>
          <w:bCs w:val="0"/>
          <w:spacing w:val="0"/>
          <w:kern w:val="0"/>
          <w:sz w:val="32"/>
          <w:szCs w:val="32"/>
          <w:lang w:eastAsia="zh-CN"/>
        </w:rPr>
        <w:t>、</w:t>
      </w:r>
      <w:r>
        <w:rPr>
          <w:rFonts w:hint="eastAsia" w:ascii="仿宋_GB2312" w:hAnsi="仿宋" w:eastAsia="仿宋_GB2312" w:cs="Times New Roman"/>
          <w:b w:val="0"/>
          <w:bCs w:val="0"/>
          <w:spacing w:val="0"/>
          <w:kern w:val="0"/>
          <w:sz w:val="32"/>
          <w:szCs w:val="32"/>
          <w:lang w:val="en-US" w:eastAsia="zh-CN"/>
        </w:rPr>
        <w:t>结构</w:t>
      </w:r>
      <w:r>
        <w:rPr>
          <w:rFonts w:hint="default" w:ascii="仿宋_GB2312" w:hAnsi="仿宋" w:eastAsia="仿宋_GB2312" w:cs="Times New Roman"/>
          <w:b w:val="0"/>
          <w:bCs w:val="0"/>
          <w:spacing w:val="0"/>
          <w:kern w:val="0"/>
          <w:sz w:val="32"/>
          <w:szCs w:val="32"/>
          <w:lang w:eastAsia="zh-CN"/>
        </w:rPr>
        <w:t>等</w:t>
      </w:r>
      <w:r>
        <w:rPr>
          <w:rFonts w:hint="eastAsia" w:ascii="仿宋_GB2312" w:hAnsi="仿宋" w:eastAsia="仿宋_GB2312" w:cs="Times New Roman"/>
          <w:b w:val="0"/>
          <w:bCs w:val="0"/>
          <w:spacing w:val="0"/>
          <w:kern w:val="0"/>
          <w:sz w:val="32"/>
          <w:szCs w:val="32"/>
          <w:lang w:val="en-US" w:eastAsia="zh-CN"/>
        </w:rPr>
        <w:t>检测</w:t>
      </w:r>
      <w:r>
        <w:rPr>
          <w:rFonts w:hint="default" w:ascii="仿宋_GB2312" w:hAnsi="仿宋" w:eastAsia="仿宋_GB2312" w:cs="Times New Roman"/>
          <w:b w:val="0"/>
          <w:bCs w:val="0"/>
          <w:spacing w:val="0"/>
          <w:kern w:val="0"/>
          <w:sz w:val="32"/>
          <w:szCs w:val="32"/>
          <w:lang w:eastAsia="zh-CN"/>
        </w:rPr>
        <w:t>中也存在需进一步完善的建设内容。</w:t>
      </w:r>
      <w:r>
        <w:rPr>
          <w:rFonts w:hint="eastAsia" w:ascii="仿宋_GB2312" w:hAnsi="仿宋" w:eastAsia="仿宋_GB2312" w:cs="Times New Roman"/>
          <w:spacing w:val="0"/>
          <w:kern w:val="0"/>
          <w:sz w:val="32"/>
          <w:szCs w:val="32"/>
          <w:lang w:val="en-US" w:eastAsia="zh-CN"/>
        </w:rPr>
        <w:t>综上，未保大楼现状存在问题较多，不但影响未保大楼的正常运营使用，而且存在安全隐患，亟待修缮和提升</w:t>
      </w:r>
      <w:r>
        <w:rPr>
          <w:rFonts w:hint="default" w:ascii="仿宋_GB2312" w:hAnsi="仿宋" w:eastAsia="仿宋_GB2312" w:cs="Times New Roman"/>
          <w:spacing w:val="0"/>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2" w:firstLineChars="200"/>
        <w:jc w:val="both"/>
        <w:textAlignment w:val="auto"/>
        <w:rPr>
          <w:rFonts w:hint="default" w:ascii="楷体_GB2312" w:hAnsi="楷体_GB2312" w:eastAsia="楷体_GB2312" w:cs="楷体_GB2312"/>
          <w:b/>
          <w:bCs/>
          <w:spacing w:val="0"/>
          <w:kern w:val="0"/>
          <w:sz w:val="32"/>
          <w:szCs w:val="32"/>
          <w:lang w:eastAsia="zh-CN"/>
        </w:rPr>
      </w:pPr>
      <w:r>
        <w:rPr>
          <w:rFonts w:hint="default" w:ascii="楷体_GB2312" w:hAnsi="楷体_GB2312" w:eastAsia="楷体_GB2312" w:cs="楷体_GB2312"/>
          <w:b/>
          <w:bCs/>
          <w:spacing w:val="0"/>
          <w:kern w:val="0"/>
          <w:sz w:val="32"/>
          <w:szCs w:val="32"/>
          <w:lang w:eastAsia="zh-CN"/>
        </w:rPr>
        <w:t>（三）建设目标</w:t>
      </w:r>
    </w:p>
    <w:p>
      <w:pPr>
        <w:pStyle w:val="2"/>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本项目定位为市未保中心大楼的建设与改造，旨在打造一个集生活照料、专业服务（心理辅导、家庭教育指导、监护评估、法律援助等）、个案受理、调度指挥、权益保障、队伍培训、社会组织培育等多功能于一体的枢纽型未成年人保护平台。</w:t>
      </w:r>
    </w:p>
    <w:p>
      <w:pPr>
        <w:pStyle w:val="2"/>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根据市未保中心的职责和项目定位，未保中心大楼应满足以下功能需求：</w:t>
      </w:r>
    </w:p>
    <w:p>
      <w:pPr>
        <w:pStyle w:val="2"/>
        <w:keepNext w:val="0"/>
        <w:keepLines w:val="0"/>
        <w:pageBreakBefore w:val="0"/>
        <w:widowControl w:val="0"/>
        <w:kinsoku/>
        <w:wordWrap/>
        <w:overflowPunct/>
        <w:topLinePunct w:val="0"/>
        <w:autoSpaceDE/>
        <w:autoSpaceDN/>
        <w:bidi w:val="0"/>
        <w:spacing w:before="0" w:line="560" w:lineRule="exact"/>
        <w:ind w:left="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1.为困境儿童等特殊群体提供养育、教育、基本医疗、基本康复、文体娱乐等服务；</w:t>
      </w:r>
    </w:p>
    <w:p>
      <w:pPr>
        <w:pStyle w:val="2"/>
        <w:keepNext w:val="0"/>
        <w:keepLines w:val="0"/>
        <w:pageBreakBefore w:val="0"/>
        <w:widowControl w:val="0"/>
        <w:kinsoku/>
        <w:wordWrap/>
        <w:overflowPunct/>
        <w:topLinePunct w:val="0"/>
        <w:autoSpaceDE/>
        <w:autoSpaceDN/>
        <w:bidi w:val="0"/>
        <w:spacing w:before="0" w:line="560" w:lineRule="exact"/>
        <w:ind w:left="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2.构建儿童保护三级预防工作体制，为困境儿童及其家庭提供专业的心理辅导、监护评估、家庭教育指导和法律援助等服务；</w:t>
      </w:r>
    </w:p>
    <w:p>
      <w:pPr>
        <w:pStyle w:val="2"/>
        <w:keepNext w:val="0"/>
        <w:keepLines w:val="0"/>
        <w:pageBreakBefore w:val="0"/>
        <w:widowControl w:val="0"/>
        <w:kinsoku/>
        <w:wordWrap/>
        <w:overflowPunct/>
        <w:topLinePunct w:val="0"/>
        <w:autoSpaceDE/>
        <w:autoSpaceDN/>
        <w:bidi w:val="0"/>
        <w:spacing w:before="0" w:line="560" w:lineRule="exact"/>
        <w:ind w:left="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3.作为全市未成年人保护工作的枢纽，受理并处置侵害未成年人合法权益的报告事项；</w:t>
      </w:r>
    </w:p>
    <w:p>
      <w:pPr>
        <w:pStyle w:val="2"/>
        <w:keepNext w:val="0"/>
        <w:keepLines w:val="0"/>
        <w:pageBreakBefore w:val="0"/>
        <w:widowControl w:val="0"/>
        <w:kinsoku/>
        <w:wordWrap/>
        <w:overflowPunct/>
        <w:topLinePunct w:val="0"/>
        <w:autoSpaceDE/>
        <w:autoSpaceDN/>
        <w:bidi w:val="0"/>
        <w:spacing w:before="0" w:line="560" w:lineRule="exact"/>
        <w:ind w:left="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4.为全市各级未成年人救助保护工作队伍提供政策指导、技术支持和培训服务；</w:t>
      </w:r>
    </w:p>
    <w:p>
      <w:pPr>
        <w:pStyle w:val="2"/>
        <w:keepNext w:val="0"/>
        <w:keepLines w:val="0"/>
        <w:pageBreakBefore w:val="0"/>
        <w:widowControl w:val="0"/>
        <w:kinsoku/>
        <w:wordWrap/>
        <w:overflowPunct/>
        <w:topLinePunct w:val="0"/>
        <w:autoSpaceDE/>
        <w:autoSpaceDN/>
        <w:bidi w:val="0"/>
        <w:spacing w:before="0" w:line="560" w:lineRule="exact"/>
        <w:ind w:left="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5.培育为困境儿童服务的社会组织和项目；</w:t>
      </w:r>
    </w:p>
    <w:p>
      <w:pPr>
        <w:pStyle w:val="2"/>
        <w:keepNext w:val="0"/>
        <w:keepLines w:val="0"/>
        <w:pageBreakBefore w:val="0"/>
        <w:widowControl w:val="0"/>
        <w:kinsoku/>
        <w:wordWrap/>
        <w:overflowPunct/>
        <w:topLinePunct w:val="0"/>
        <w:autoSpaceDE/>
        <w:autoSpaceDN/>
        <w:bidi w:val="0"/>
        <w:spacing w:before="0" w:line="560" w:lineRule="exact"/>
        <w:ind w:left="0"/>
        <w:jc w:val="both"/>
        <w:textAlignment w:val="auto"/>
        <w:rPr>
          <w:rFonts w:hint="default" w:ascii="仿宋_GB2312" w:hAnsi="仿宋" w:eastAsia="仿宋_GB2312" w:cs="Times New Roman"/>
          <w:spacing w:val="0"/>
          <w:kern w:val="0"/>
          <w:sz w:val="32"/>
          <w:szCs w:val="32"/>
          <w:lang w:eastAsia="zh-CN"/>
        </w:rPr>
      </w:pPr>
      <w:r>
        <w:rPr>
          <w:rFonts w:hint="default" w:ascii="仿宋_GB2312" w:hAnsi="仿宋" w:eastAsia="仿宋_GB2312" w:cs="Times New Roman"/>
          <w:spacing w:val="0"/>
          <w:kern w:val="0"/>
          <w:sz w:val="32"/>
          <w:szCs w:val="32"/>
          <w:lang w:eastAsia="zh-CN"/>
        </w:rPr>
        <w:t>6.满足市未保中心基本业务管理需求，成为市未保中心工作人员开展相关工作、提供专业服务的基本阵地。</w:t>
      </w:r>
    </w:p>
    <w:p>
      <w:pPr>
        <w:pStyle w:val="2"/>
        <w:keepNext w:val="0"/>
        <w:keepLines w:val="0"/>
        <w:pageBreakBefore w:val="0"/>
        <w:widowControl w:val="0"/>
        <w:kinsoku/>
        <w:wordWrap/>
        <w:overflowPunct/>
        <w:topLinePunct w:val="0"/>
        <w:autoSpaceDE/>
        <w:autoSpaceDN/>
        <w:bidi w:val="0"/>
        <w:spacing w:before="0" w:line="560" w:lineRule="exact"/>
        <w:ind w:left="0"/>
        <w:jc w:val="both"/>
        <w:textAlignment w:val="auto"/>
        <w:rPr>
          <w:rFonts w:hint="eastAsia" w:ascii="楷体_GB2312" w:hAnsi="楷体_GB2312" w:eastAsia="楷体_GB2312" w:cs="楷体_GB2312"/>
          <w:b/>
          <w:bCs/>
          <w:spacing w:val="0"/>
          <w:kern w:val="0"/>
          <w:sz w:val="32"/>
          <w:szCs w:val="32"/>
          <w:lang w:val="en-US" w:eastAsia="zh-CN"/>
        </w:rPr>
      </w:pPr>
      <w:r>
        <w:rPr>
          <w:rFonts w:hint="eastAsia" w:ascii="楷体_GB2312" w:hAnsi="楷体_GB2312" w:eastAsia="楷体_GB2312" w:cs="楷体_GB2312"/>
          <w:b/>
          <w:bCs/>
          <w:spacing w:val="0"/>
          <w:kern w:val="0"/>
          <w:sz w:val="32"/>
          <w:szCs w:val="32"/>
          <w:lang w:val="en-US" w:eastAsia="zh-CN"/>
        </w:rPr>
        <w:t>（</w:t>
      </w:r>
      <w:r>
        <w:rPr>
          <w:rFonts w:hint="default" w:ascii="楷体_GB2312" w:hAnsi="楷体_GB2312" w:eastAsia="楷体_GB2312" w:cs="楷体_GB2312"/>
          <w:b/>
          <w:bCs/>
          <w:spacing w:val="0"/>
          <w:kern w:val="0"/>
          <w:sz w:val="32"/>
          <w:szCs w:val="32"/>
          <w:lang w:eastAsia="zh-CN"/>
        </w:rPr>
        <w:t>四</w:t>
      </w:r>
      <w:r>
        <w:rPr>
          <w:rFonts w:hint="eastAsia" w:ascii="楷体_GB2312" w:hAnsi="楷体_GB2312" w:eastAsia="楷体_GB2312" w:cs="楷体_GB2312"/>
          <w:b/>
          <w:bCs/>
          <w:spacing w:val="0"/>
          <w:kern w:val="0"/>
          <w:sz w:val="32"/>
          <w:szCs w:val="32"/>
          <w:lang w:val="en-US" w:eastAsia="zh-CN"/>
        </w:rPr>
        <w:t>）建设规模与内容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jc w:val="both"/>
        <w:textAlignment w:val="auto"/>
        <w:outlineLvl w:val="0"/>
        <w:rPr>
          <w:rFonts w:hint="eastAsia" w:ascii="仿宋_GB2312" w:hAnsi="仿宋" w:eastAsia="仿宋_GB2312" w:cs="Times New Roman"/>
          <w:color w:val="000000"/>
          <w:spacing w:val="0"/>
          <w:kern w:val="0"/>
          <w:sz w:val="32"/>
          <w:szCs w:val="32"/>
          <w:lang w:val="en-US" w:eastAsia="zh-CN" w:bidi="ar-SA"/>
        </w:rPr>
      </w:pPr>
      <w:r>
        <w:rPr>
          <w:rFonts w:hint="eastAsia" w:ascii="仿宋_GB2312" w:hAnsi="仿宋" w:eastAsia="仿宋_GB2312" w:cs="Times New Roman"/>
          <w:color w:val="000000"/>
          <w:spacing w:val="0"/>
          <w:kern w:val="0"/>
          <w:sz w:val="32"/>
          <w:szCs w:val="32"/>
          <w:lang w:val="en-US" w:eastAsia="zh-CN" w:bidi="ar-SA"/>
        </w:rPr>
        <w:t>未保大楼总建筑面积7161.82平方米，建筑形式为地上六层、局部四层和五层的框架结构。本次项目涉及改造的面积为6813.16平方米。基于项目的定位与功能需求，以及对现有状况的深入分析和功能用房的调整需求，项目建设内容主要包括结构加固、外立面修缮、室内功能提升与装修、屋面防水翻新、给排水、机电（含消防）安装工程改造、配套设施修缮提升等。</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楷体_GB2312" w:hAnsi="楷体_GB2312" w:eastAsia="楷体_GB2312" w:cs="楷体_GB2312"/>
          <w:b/>
          <w:bCs/>
          <w:kern w:val="0"/>
          <w:sz w:val="32"/>
          <w:szCs w:val="32"/>
          <w:lang w:val="en-US" w:eastAsia="zh-CN"/>
        </w:rPr>
      </w:pPr>
      <w:r>
        <w:rPr>
          <w:rFonts w:hint="eastAsia" w:ascii="楷体_GB2312" w:hAnsi="楷体_GB2312" w:eastAsia="楷体_GB2312" w:cs="楷体_GB2312"/>
          <w:b/>
          <w:bCs/>
          <w:kern w:val="0"/>
          <w:sz w:val="32"/>
          <w:szCs w:val="32"/>
          <w:lang w:eastAsia="zh-CN"/>
        </w:rPr>
        <w:t>（五）建设</w:t>
      </w:r>
      <w:r>
        <w:rPr>
          <w:rFonts w:hint="eastAsia" w:ascii="楷体_GB2312" w:hAnsi="楷体_GB2312" w:eastAsia="楷体_GB2312" w:cs="楷体_GB2312"/>
          <w:b/>
          <w:bCs/>
          <w:kern w:val="0"/>
          <w:sz w:val="32"/>
          <w:szCs w:val="32"/>
          <w:lang w:val="en-US" w:eastAsia="zh-CN"/>
        </w:rPr>
        <w:t>依据</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1.《政府投资项目可行性研究报告编写通用大纲》（2023年版）；</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2.《建设项目经济评价方法与参数》（第三版）；</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3.《中华人民共和国未成年人保护法》；</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4.《中国儿童发展纲要（2021-2030 年）》；</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5.《深圳市国民经济和社会发展第十四个五年规划和2035年远景目标纲要》；</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6.《中华人民共和国未成年人保护法》（2021年修订）；</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7.《深圳市民政事业发展“十四五”规划》；</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eastAsia"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8.《深圳国土空间总体规划（2020-2035年）》；</w:t>
      </w:r>
    </w:p>
    <w:p>
      <w:pPr>
        <w:pStyle w:val="2"/>
        <w:keepNext w:val="0"/>
        <w:keepLines w:val="0"/>
        <w:pageBreakBefore w:val="0"/>
        <w:widowControl w:val="0"/>
        <w:kinsoku/>
        <w:wordWrap/>
        <w:overflowPunct/>
        <w:topLinePunct w:val="0"/>
        <w:autoSpaceDE/>
        <w:autoSpaceDN/>
        <w:bidi w:val="0"/>
        <w:spacing w:before="0" w:line="560" w:lineRule="exact"/>
        <w:textAlignment w:val="auto"/>
        <w:rPr>
          <w:rFonts w:hint="default" w:ascii="仿宋_GB2312" w:hAnsi="仿宋" w:eastAsia="仿宋_GB2312"/>
          <w:kern w:val="0"/>
          <w:sz w:val="32"/>
          <w:szCs w:val="32"/>
          <w:lang w:val="en-US" w:eastAsia="zh-CN"/>
        </w:rPr>
      </w:pPr>
      <w:r>
        <w:rPr>
          <w:rFonts w:hint="eastAsia" w:ascii="仿宋_GB2312" w:hAnsi="仿宋" w:eastAsia="仿宋_GB2312"/>
          <w:kern w:val="0"/>
          <w:sz w:val="32"/>
          <w:szCs w:val="32"/>
          <w:lang w:val="en-US" w:eastAsia="zh-CN"/>
        </w:rPr>
        <w:t>9.国家、行业和地方现行相关规范和标准</w:t>
      </w:r>
      <w:r>
        <w:rPr>
          <w:rFonts w:hint="default" w:ascii="仿宋_GB2312" w:hAnsi="仿宋" w:eastAsia="仿宋_GB2312"/>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0"/>
        <w:rPr>
          <w:rFonts w:hint="default" w:ascii="仿宋_GB2312" w:hAnsi="仿宋" w:eastAsia="仿宋_GB2312" w:cs="Times New Roman"/>
          <w:spacing w:val="0"/>
          <w:kern w:val="0"/>
          <w:sz w:val="32"/>
          <w:szCs w:val="32"/>
        </w:rPr>
      </w:pPr>
      <w:r>
        <w:rPr>
          <w:rFonts w:hint="default" w:ascii="黑体" w:hAnsi="黑体" w:eastAsia="黑体" w:cs="Times New Roman"/>
          <w:spacing w:val="0"/>
          <w:kern w:val="0"/>
          <w:sz w:val="32"/>
          <w:szCs w:val="32"/>
        </w:rPr>
        <w:t>二、设计说明</w:t>
      </w:r>
    </w:p>
    <w:p>
      <w:pPr>
        <w:keepNext w:val="0"/>
        <w:keepLines w:val="0"/>
        <w:pageBreakBefore w:val="0"/>
        <w:widowControl w:val="0"/>
        <w:kinsoku/>
        <w:wordWrap/>
        <w:overflowPunct/>
        <w:topLinePunct w:val="0"/>
        <w:autoSpaceDE/>
        <w:autoSpaceDN/>
        <w:bidi w:val="0"/>
        <w:spacing w:line="560" w:lineRule="exact"/>
        <w:ind w:firstLine="560" w:firstLineChars="0"/>
        <w:textAlignment w:val="auto"/>
        <w:rPr>
          <w:rFonts w:hint="default" w:ascii="仿宋_GB2312" w:hAnsi="仿宋" w:eastAsia="仿宋_GB2312" w:cs="Times New Roman"/>
          <w:color w:val="000000"/>
          <w:kern w:val="0"/>
          <w:sz w:val="32"/>
          <w:szCs w:val="32"/>
          <w:lang w:val="en-US" w:eastAsia="zh-CN"/>
        </w:rPr>
      </w:pPr>
      <w:r>
        <w:rPr>
          <w:rFonts w:hint="default" w:ascii="仿宋_GB2312" w:hAnsi="仿宋" w:eastAsia="仿宋_GB2312" w:cs="Times New Roman"/>
          <w:color w:val="000000"/>
          <w:kern w:val="0"/>
          <w:sz w:val="32"/>
          <w:szCs w:val="32"/>
          <w:lang w:val="en-US" w:eastAsia="zh-CN"/>
        </w:rPr>
        <w:t>本项目原为深圳市儿童救助保护中心，依据《流浪未成年人救助保护中心建设标准》（以下简称《标准》），以300床规模进行建设，总建筑面积为7161.82㎡。随着市未保中心职能的明确和定位的深化，结合现有用房功能布局，本项目旨在优化空间布局，提升使用效率，并对功能区域进行重新划分。</w:t>
      </w:r>
    </w:p>
    <w:p>
      <w:pPr>
        <w:pStyle w:val="2"/>
        <w:widowControl w:val="0"/>
        <w:spacing w:before="0" w:line="560" w:lineRule="exact"/>
        <w:ind w:firstLine="640" w:firstLineChars="200"/>
        <w:rPr>
          <w:rFonts w:hint="default" w:ascii="仿宋_GB2312" w:hAnsi="仿宋" w:eastAsia="仿宋_GB2312" w:cs="Times New Roman"/>
          <w:spacing w:val="0"/>
          <w:kern w:val="0"/>
          <w:sz w:val="32"/>
          <w:szCs w:val="32"/>
        </w:rPr>
      </w:pPr>
      <w:r>
        <w:rPr>
          <w:rFonts w:hint="eastAsia" w:ascii="仿宋_GB2312" w:hAnsi="仿宋" w:eastAsia="仿宋_GB2312"/>
          <w:kern w:val="0"/>
          <w:sz w:val="32"/>
          <w:szCs w:val="32"/>
          <w:lang w:val="en-US" w:eastAsia="zh-CN"/>
        </w:rPr>
        <w:t>本</w:t>
      </w:r>
      <w:r>
        <w:rPr>
          <w:rFonts w:hint="default" w:ascii="仿宋_GB2312" w:hAnsi="仿宋" w:eastAsia="仿宋_GB2312"/>
          <w:kern w:val="0"/>
          <w:sz w:val="32"/>
          <w:szCs w:val="32"/>
          <w:lang w:eastAsia="zh-CN"/>
        </w:rPr>
        <w:t>设计方案由原</w:t>
      </w:r>
      <w:r>
        <w:rPr>
          <w:rFonts w:hint="default" w:ascii="仿宋_GB2312" w:hAnsi="仿宋" w:eastAsia="仿宋_GB2312" w:cs="Times New Roman"/>
          <w:color w:val="000000"/>
          <w:kern w:val="0"/>
          <w:sz w:val="32"/>
          <w:szCs w:val="32"/>
          <w:lang w:val="en-US" w:eastAsia="zh-CN"/>
        </w:rPr>
        <w:t>深圳市儿童救助保护中心</w:t>
      </w:r>
      <w:r>
        <w:rPr>
          <w:rFonts w:hint="default" w:ascii="仿宋_GB2312" w:hAnsi="仿宋" w:eastAsia="仿宋_GB2312"/>
          <w:kern w:val="0"/>
          <w:sz w:val="32"/>
          <w:szCs w:val="32"/>
          <w:lang w:eastAsia="zh-CN"/>
        </w:rPr>
        <w:t>设计单位“深圳机械院建筑设计有限公司”设计。</w:t>
      </w:r>
      <w:r>
        <w:rPr>
          <w:rFonts w:hint="default" w:ascii="仿宋_GB2312" w:hAnsi="仿宋" w:eastAsia="仿宋_GB2312" w:cs="Times New Roman"/>
          <w:spacing w:val="0"/>
          <w:kern w:val="0"/>
          <w:sz w:val="32"/>
          <w:szCs w:val="32"/>
        </w:rPr>
        <w:t>未保中心</w:t>
      </w:r>
      <w:r>
        <w:rPr>
          <w:rFonts w:hint="eastAsia" w:ascii="仿宋_GB2312" w:hAnsi="仿宋" w:eastAsia="仿宋_GB2312" w:cs="Times New Roman"/>
          <w:spacing w:val="0"/>
          <w:kern w:val="0"/>
          <w:sz w:val="32"/>
          <w:szCs w:val="32"/>
          <w:lang w:eastAsia="zh-CN"/>
        </w:rPr>
        <w:t>大楼</w:t>
      </w:r>
      <w:r>
        <w:rPr>
          <w:rFonts w:hint="default" w:ascii="仿宋_GB2312" w:hAnsi="仿宋" w:eastAsia="仿宋_GB2312" w:cs="Times New Roman"/>
          <w:spacing w:val="0"/>
          <w:kern w:val="0"/>
          <w:sz w:val="32"/>
          <w:szCs w:val="32"/>
        </w:rPr>
        <w:t>修缮和功能提升工程设计内容分为7部分，由建筑平面设计、建筑造型设计、结构分析及加固方案、建筑防水设计、室内及景观设计、给排水设计、电气设计组成。其中，本事项涉及的建筑平面设计、建筑造型设计、室内及景观设计，具体是：</w:t>
      </w:r>
    </w:p>
    <w:p>
      <w:pPr>
        <w:pStyle w:val="2"/>
        <w:keepNext w:val="0"/>
        <w:keepLines w:val="0"/>
        <w:pageBreakBefore w:val="0"/>
        <w:widowControl w:val="0"/>
        <w:numPr>
          <w:ilvl w:val="0"/>
          <w:numId w:val="0"/>
        </w:numPr>
        <w:kinsoku/>
        <w:wordWrap/>
        <w:overflowPunct/>
        <w:topLinePunct w:val="0"/>
        <w:autoSpaceDE/>
        <w:autoSpaceDN/>
        <w:bidi w:val="0"/>
        <w:spacing w:before="0" w:line="560" w:lineRule="exact"/>
        <w:ind w:left="0" w:leftChars="0" w:firstLine="642" w:firstLineChars="200"/>
        <w:jc w:val="both"/>
        <w:textAlignment w:val="auto"/>
        <w:rPr>
          <w:rFonts w:hint="default" w:ascii="楷体_GB2312" w:hAnsi="楷体_GB2312" w:eastAsia="楷体_GB2312" w:cs="楷体_GB2312"/>
          <w:b/>
          <w:bCs/>
          <w:spacing w:val="0"/>
          <w:kern w:val="0"/>
          <w:sz w:val="32"/>
          <w:szCs w:val="32"/>
          <w:lang w:val="en-US" w:eastAsia="zh-CN" w:bidi="ar-SA"/>
        </w:rPr>
      </w:pPr>
      <w:r>
        <w:rPr>
          <w:rFonts w:hint="default" w:ascii="楷体_GB2312" w:hAnsi="楷体_GB2312" w:eastAsia="楷体_GB2312" w:cs="楷体_GB2312"/>
          <w:b/>
          <w:bCs/>
          <w:spacing w:val="0"/>
          <w:kern w:val="0"/>
          <w:sz w:val="32"/>
          <w:szCs w:val="32"/>
          <w:lang w:val="en-US" w:eastAsia="zh-CN" w:bidi="ar-SA"/>
        </w:rPr>
        <w:t>（一）建筑平面设计</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2" w:firstLineChars="200"/>
        <w:jc w:val="both"/>
        <w:textAlignment w:val="auto"/>
        <w:rPr>
          <w:rFonts w:hint="default" w:ascii="仿宋_GB2312" w:hAnsi="仿宋" w:eastAsia="仿宋_GB2312" w:cs="Times New Roman"/>
          <w:b/>
          <w:bCs/>
          <w:spacing w:val="0"/>
          <w:kern w:val="0"/>
          <w:sz w:val="32"/>
          <w:szCs w:val="32"/>
          <w:lang w:eastAsia="zh-CN"/>
        </w:rPr>
      </w:pPr>
      <w:r>
        <w:rPr>
          <w:rFonts w:hint="default" w:ascii="仿宋_GB2312" w:hAnsi="仿宋" w:eastAsia="仿宋_GB2312" w:cs="Times New Roman"/>
          <w:b/>
          <w:bCs/>
          <w:spacing w:val="0"/>
          <w:kern w:val="0"/>
          <w:sz w:val="32"/>
          <w:szCs w:val="32"/>
          <w:lang w:eastAsia="zh-CN"/>
        </w:rPr>
        <w:t>一</w:t>
      </w:r>
      <w:r>
        <w:rPr>
          <w:rFonts w:hint="eastAsia" w:ascii="仿宋_GB2312" w:hAnsi="仿宋" w:eastAsia="仿宋_GB2312" w:cs="Times New Roman"/>
          <w:b/>
          <w:bCs/>
          <w:spacing w:val="0"/>
          <w:kern w:val="0"/>
          <w:sz w:val="32"/>
          <w:szCs w:val="32"/>
          <w:lang w:eastAsia="zh-CN"/>
        </w:rPr>
        <w:t>是</w:t>
      </w:r>
      <w:r>
        <w:rPr>
          <w:rFonts w:hint="default" w:ascii="仿宋_GB2312" w:hAnsi="仿宋" w:eastAsia="仿宋_GB2312" w:cs="Times New Roman"/>
          <w:b/>
          <w:bCs/>
          <w:spacing w:val="0"/>
          <w:kern w:val="0"/>
          <w:sz w:val="32"/>
          <w:szCs w:val="32"/>
          <w:lang w:eastAsia="zh-CN"/>
        </w:rPr>
        <w:t>功能用房方面</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仿宋_GB2312" w:hAnsi="仿宋" w:eastAsia="仿宋_GB2312" w:cs="Times New Roman"/>
          <w:spacing w:val="0"/>
          <w:kern w:val="0"/>
          <w:sz w:val="32"/>
          <w:szCs w:val="32"/>
          <w:lang w:eastAsia="zh-CN" w:bidi="ar-SA"/>
        </w:rPr>
      </w:pPr>
      <w:r>
        <w:rPr>
          <w:rFonts w:hint="eastAsia" w:ascii="仿宋_GB2312" w:hAnsi="仿宋" w:eastAsia="仿宋_GB2312" w:cs="Times New Roman"/>
          <w:spacing w:val="0"/>
          <w:kern w:val="0"/>
          <w:sz w:val="32"/>
          <w:szCs w:val="32"/>
          <w:lang w:val="en-US" w:eastAsia="zh-CN"/>
        </w:rPr>
        <w:t>基于项目的定位与功能需求，以及对现有状况的深入分析和功能用房的调整需求，</w:t>
      </w:r>
      <w:r>
        <w:rPr>
          <w:rFonts w:hint="default" w:ascii="仿宋_GB2312" w:hAnsi="仿宋" w:eastAsia="仿宋_GB2312" w:cs="Times New Roman"/>
          <w:spacing w:val="0"/>
          <w:kern w:val="0"/>
          <w:sz w:val="32"/>
          <w:szCs w:val="32"/>
          <w:lang w:eastAsia="zh-CN" w:bidi="ar-SA"/>
        </w:rPr>
        <w:t>按照</w:t>
      </w:r>
      <w:r>
        <w:rPr>
          <w:rFonts w:hint="default" w:ascii="仿宋_GB2312" w:hAnsi="仿宋" w:eastAsia="仿宋_GB2312" w:cs="Times New Roman"/>
          <w:spacing w:val="0"/>
          <w:kern w:val="0"/>
          <w:sz w:val="32"/>
          <w:szCs w:val="32"/>
        </w:rPr>
        <w:t>未成年人服务功能用房、</w:t>
      </w:r>
      <w:r>
        <w:rPr>
          <w:rFonts w:hint="default" w:ascii="仿宋_GB2312" w:hAnsi="仿宋" w:eastAsia="仿宋_GB2312" w:cs="Times New Roman"/>
          <w:spacing w:val="0"/>
          <w:kern w:val="0"/>
          <w:sz w:val="32"/>
          <w:szCs w:val="32"/>
          <w:lang w:val="en-US" w:eastAsia="zh-CN" w:bidi="ar-SA"/>
        </w:rPr>
        <w:t>权益保障功能用房</w:t>
      </w:r>
      <w:r>
        <w:rPr>
          <w:rFonts w:hint="default" w:ascii="仿宋_GB2312" w:hAnsi="仿宋" w:eastAsia="仿宋_GB2312" w:cs="Times New Roman"/>
          <w:spacing w:val="0"/>
          <w:kern w:val="0"/>
          <w:sz w:val="32"/>
          <w:szCs w:val="32"/>
          <w:lang w:eastAsia="zh-CN" w:bidi="ar-SA"/>
        </w:rPr>
        <w:t>、培育培训功能用房、业务管理用房和配套用房及附属用房等5个</w:t>
      </w:r>
      <w:r>
        <w:rPr>
          <w:rFonts w:hint="default" w:ascii="仿宋_GB2312" w:hAnsi="仿宋" w:eastAsia="仿宋_GB2312" w:cs="Times New Roman"/>
          <w:spacing w:val="0"/>
          <w:kern w:val="0"/>
          <w:sz w:val="32"/>
          <w:szCs w:val="32"/>
          <w:lang w:val="en-US" w:eastAsia="zh-CN"/>
        </w:rPr>
        <w:t>功能区域进行重新划分</w:t>
      </w:r>
      <w:r>
        <w:rPr>
          <w:rFonts w:hint="default" w:ascii="仿宋_GB2312" w:hAnsi="仿宋" w:eastAsia="仿宋_GB2312" w:cs="Times New Roman"/>
          <w:spacing w:val="0"/>
          <w:kern w:val="0"/>
          <w:sz w:val="32"/>
          <w:szCs w:val="32"/>
          <w:lang w:eastAsia="zh-CN" w:bidi="ar-SA"/>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未成年人服务功能用房</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为应对未来可能的突发情况，拟设置儿童居室和未成年人居住用房100床，类家庭用房28床，并按照《标准》100床规模，对以下用房进行配置：</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（1）入站登记用房：设置接待室、大堂、观察室、物品保管室。按照《标准》使用面积指标100*228人/㎡=228㎡。</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（2）生活用房：设置儿童居室、未成年人居住用房、类家庭区域、类家庭餐厨空间、食堂。</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①儿童居室、未成年人居住用房：按照收纳流浪儿童功能，100床位设置。《标准》使用面积指标100*5.95人/㎡=595㎡。根据《宿舍建筑设计规范》JGJ36-2016，人均使用面积不宜低于6人/㎡，100*6人/㎡=600㎡。</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②类家庭区域、类家庭餐厨空间：为市未保中心承担临时监护责任对象用房，该类服务对象为遭受监护侵害、暂时无人监护等未成年人，市未保中心拟通过类家庭方式提供一个能够体现家庭温暖和情感互动的健康成长环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参照深圳市《公共住房建设标准》，安居房使用人数4人及以上，最小套内建筑面积63㎡，按照每户类家庭4人（含2名儿童和2名看护者），设置7套类家庭房间，标准使用面积为7*63㎡=441㎡。</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③食堂：保持现状。考虑现有设备尚未达到报废年限，无需进行调整。</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（3）教育用房：设置教师办公室、社会工作室、音乐睡眠室、正念放松室、辅导室、宣泄室、舒压减压室、思政教育基地；</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①设置教师办公室、社会工作室、音乐睡眠室、正念放松室、辅导室、宣泄室、舒压减压室。《标准》的使用面积指标100*4.12人/㎡=412㎡。</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②根据《中华人民共和国未成年人保护法》（2024年修正），国家鼓励国家机关、企业事业单位、部队等开发自身教育资源，设立未成年人开放日，为未成年人主题教育、社会实践、职业体验等提供支持。拟增设思政教育基地，联合教育机构、少年宫等单位，为全市未成年人提供思想政治教育、法制教育和科普活动。</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按照同时容纳100人的标准，根据《全国民用建筑工程设计技术措施》2009年版，展厅人员密度0.7人/㎡标准，需用房面积100/0.7=143㎡。</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（4）</w:t>
      </w:r>
      <w:r>
        <w:rPr>
          <w:rFonts w:hint="eastAsia" w:ascii="仿宋_GB2312" w:hAnsi="仿宋_GB2312" w:eastAsia="仿宋_GB2312" w:cs="仿宋_GB2312"/>
          <w:kern w:val="0"/>
          <w:sz w:val="32"/>
          <w:szCs w:val="32"/>
          <w:lang w:val="en-US" w:eastAsia="zh-CN"/>
        </w:rPr>
        <w:t>文体活动用房：设置儿童活动中心、儿童探索馆等室内活动场所。</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新形势下未成年机构定位为“幼有善育”的适度普惠未成年人福利机构，且在院儿童多为遭受监护侵害对象，部分儿童因有“人身安全保护令”等原因，不宜外出活动，因此对儿童活动场所提出了更高的要求。同时市未保中心的服务对象涵盖0-18岁的未成年人，需充分提供适用全年龄段儿童的活动空间；另外考虑深圳雨天频繁、多台风的因素，需弥补和拓展室外活动区域，提供集学习、娱乐、锻炼于一体的综合性场所。</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（5）医务用房：设置取证区、检查室等用房。《标准》的使用面积指标100*0.94人/㎡=94㎡。</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权益保障功能用房</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设置热线坐席、个案会商室、调度中心。</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lang w:val="en-US" w:eastAsia="zh-CN"/>
        </w:rPr>
        <w:t>热线坐席：内设坐席4个，按照普通办公人员9㎡/人标准，需4*9㎡/人=36㎡。</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lang w:val="en-US" w:eastAsia="zh-CN"/>
        </w:rPr>
        <w:t>个案会商室：根据《办公建筑设计标准》JGJ/T67-2019会议室设置标准，小会议室使用面积不宜小于30㎡，有会议桌的小会议室每人使用面积不应小于 2.00㎡/人。即个案室面积不应小于20㎡，不宜小于30㎡。</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lang w:val="en-US" w:eastAsia="zh-CN"/>
        </w:rPr>
        <w:t>调度中心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现设有3.2m*1.94m大屏和调度指挥桌椅，用于深圳市未成年人保护个案管理系统运营管理和现场调度。根据《办公建筑设计标准》JGJ/T67-2019会议室设置标准，中会议室使用面积不宜小于60㎡。</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2" w:firstLineChars="200"/>
        <w:textAlignment w:val="auto"/>
        <w:rPr>
          <w:rFonts w:hint="eastAsia" w:ascii="仿宋_GB2312" w:hAnsi="仿宋_GB2312" w:eastAsia="仿宋_GB2312" w:cs="仿宋_GB2312"/>
          <w:b/>
          <w:bCs/>
          <w:kern w:val="0"/>
          <w:sz w:val="32"/>
          <w:szCs w:val="32"/>
          <w:lang w:val="en-US" w:eastAsia="zh-CN"/>
        </w:rPr>
      </w:pPr>
      <w:r>
        <w:rPr>
          <w:rFonts w:hint="default" w:ascii="仿宋_GB2312" w:hAnsi="仿宋_GB2312" w:eastAsia="仿宋_GB2312" w:cs="仿宋_GB2312"/>
          <w:b/>
          <w:bCs/>
          <w:kern w:val="0"/>
          <w:sz w:val="32"/>
          <w:szCs w:val="32"/>
          <w:lang w:eastAsia="zh-CN"/>
        </w:rPr>
        <w:t>3.</w:t>
      </w:r>
      <w:r>
        <w:rPr>
          <w:rFonts w:hint="eastAsia" w:ascii="仿宋_GB2312" w:hAnsi="仿宋_GB2312" w:eastAsia="仿宋_GB2312" w:cs="仿宋_GB2312"/>
          <w:b/>
          <w:bCs/>
          <w:kern w:val="0"/>
          <w:sz w:val="32"/>
          <w:szCs w:val="32"/>
          <w:lang w:val="en-US" w:eastAsia="zh-CN"/>
        </w:rPr>
        <w:t>培育培训功能用房</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设置儿童保护专业图书馆、培训中心、网络培训室、专服工作室、社会组织支持中心。</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lang w:val="en-US" w:eastAsia="zh-CN"/>
        </w:rPr>
        <w:t>设置儿童保护专业图书馆</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为儿童保护队伍提供专业书籍、阅览区域和读书分享会等空间。参照《全国民用建筑工程设计技术措施》2009年版，图书馆专业阅览室人均最小使用面积3.5㎡/人的标准，按照同时容纳50人考虑，需175㎡。</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lang w:val="en-US" w:eastAsia="zh-CN"/>
        </w:rPr>
        <w:t>设置培训中心</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面向市、区、街道、社区四级儿童工作队伍进行培训，全市未保工作队伍人员约150人，按照能最高容纳100人同时培训的需求设置。根据《办公建筑设计标准》JGJ/T67-2019，大型会议室应根据使用人数和桌椅设置情况确定使用面积，按照每人使用面积不应小于2.00㎡/人。同时按照该标准，会议室应根据需要设置相应的休息、储藏及服务空间。</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lang w:val="en-US" w:eastAsia="zh-CN"/>
        </w:rPr>
        <w:t>设置网络培训室</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通过网络直播方式，链接儿童保护专家对未保工作队伍进行线上培训。</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（4）</w:t>
      </w:r>
      <w:r>
        <w:rPr>
          <w:rFonts w:hint="eastAsia" w:ascii="仿宋_GB2312" w:hAnsi="仿宋_GB2312" w:eastAsia="仿宋_GB2312" w:cs="仿宋_GB2312"/>
          <w:kern w:val="0"/>
          <w:sz w:val="32"/>
          <w:szCs w:val="32"/>
          <w:lang w:val="en-US" w:eastAsia="zh-CN"/>
        </w:rPr>
        <w:t>设置专服工作室2个</w:t>
      </w:r>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依托名师开展个案管理系列工作坊，通过理论学习、技能培训、个案研讨、专业督导等方式，发挥行业领军人才在培养行业骨干，引领行业发展，推动儿童队伍工作。</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（5）</w:t>
      </w:r>
      <w:r>
        <w:rPr>
          <w:rFonts w:hint="eastAsia" w:ascii="仿宋_GB2312" w:hAnsi="仿宋_GB2312" w:eastAsia="仿宋_GB2312" w:cs="仿宋_GB2312"/>
          <w:kern w:val="0"/>
          <w:sz w:val="32"/>
          <w:szCs w:val="32"/>
          <w:lang w:val="en-US" w:eastAsia="zh-CN"/>
        </w:rPr>
        <w:t>设置社会组织支持中心。内设公益展示空间、室内展示厅、党建活动室等，旨在完善基地基础建设，创新党建引领品牌，开展儿童关爱服务项目的孵化培育，聚合优质儿童关爱公益慈善资源，建设一个社会组织参与儿童关爱事业的兴业支持平台。</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kern w:val="0"/>
          <w:sz w:val="32"/>
          <w:szCs w:val="32"/>
          <w:lang w:val="en-US" w:eastAsia="zh-CN"/>
        </w:rPr>
      </w:pPr>
      <w:r>
        <w:rPr>
          <w:rFonts w:hint="default" w:ascii="仿宋_GB2312" w:hAnsi="仿宋_GB2312" w:eastAsia="仿宋_GB2312" w:cs="仿宋_GB2312"/>
          <w:b/>
          <w:bCs/>
          <w:kern w:val="0"/>
          <w:sz w:val="32"/>
          <w:szCs w:val="32"/>
          <w:lang w:eastAsia="zh-CN"/>
        </w:rPr>
        <w:t>4.</w:t>
      </w:r>
      <w:r>
        <w:rPr>
          <w:rFonts w:hint="eastAsia" w:ascii="仿宋_GB2312" w:hAnsi="仿宋_GB2312" w:eastAsia="仿宋_GB2312" w:cs="仿宋_GB2312"/>
          <w:b/>
          <w:bCs/>
          <w:kern w:val="0"/>
          <w:sz w:val="32"/>
          <w:szCs w:val="32"/>
          <w:lang w:val="en-US" w:eastAsia="zh-CN"/>
        </w:rPr>
        <w:t>业务管理用房</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设置管理用房、档案室、工作人员生活用房。</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lang w:val="en-US" w:eastAsia="zh-CN"/>
        </w:rPr>
        <w:t>管理用房，用于开展全市未成年人救助保护工作分析评估，参与制定未成年人保护工作计划和方案用房，《标准》的使用面积指标为100*1.98㎡/人=198㎡。</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lang w:val="en-US" w:eastAsia="zh-CN"/>
        </w:rPr>
        <w:t>档案室，该区域已按照原300床的规模标准设置，现已布置档案密集柜等设施设备，并存放了历年来儿童业务档案，保留现有规模。</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（3）</w:t>
      </w:r>
      <w:r>
        <w:rPr>
          <w:rFonts w:hint="eastAsia" w:ascii="仿宋_GB2312" w:hAnsi="仿宋_GB2312" w:eastAsia="仿宋_GB2312" w:cs="仿宋_GB2312"/>
          <w:kern w:val="0"/>
          <w:sz w:val="32"/>
          <w:szCs w:val="32"/>
          <w:lang w:val="en-US" w:eastAsia="zh-CN"/>
        </w:rPr>
        <w:t>工作人员生活用房，为适应24小时值班和轮班制度的需求，以供工作人员值班以及护工、保安等长住用房。《标准》的使用面积指标为100*3.05㎡/人=305㎡。</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left="0" w:leftChars="0" w:firstLine="642" w:firstLineChars="200"/>
        <w:textAlignment w:val="auto"/>
        <w:rPr>
          <w:rFonts w:hint="eastAsia" w:ascii="仿宋_GB2312" w:hAnsi="仿宋_GB2312" w:eastAsia="仿宋_GB2312" w:cs="仿宋_GB2312"/>
          <w:b/>
          <w:bCs/>
          <w:kern w:val="0"/>
          <w:sz w:val="32"/>
          <w:szCs w:val="32"/>
          <w:lang w:val="en-US" w:eastAsia="zh-CN"/>
        </w:rPr>
      </w:pPr>
      <w:r>
        <w:rPr>
          <w:rFonts w:hint="default" w:ascii="仿宋_GB2312" w:hAnsi="仿宋_GB2312" w:eastAsia="仿宋_GB2312" w:cs="仿宋_GB2312"/>
          <w:b/>
          <w:bCs/>
          <w:kern w:val="0"/>
          <w:sz w:val="32"/>
          <w:szCs w:val="32"/>
          <w:lang w:eastAsia="zh-CN"/>
        </w:rPr>
        <w:t>5.</w:t>
      </w:r>
      <w:r>
        <w:rPr>
          <w:rFonts w:hint="eastAsia" w:ascii="仿宋_GB2312" w:hAnsi="仿宋_GB2312" w:eastAsia="仿宋_GB2312" w:cs="仿宋_GB2312"/>
          <w:b/>
          <w:bCs/>
          <w:kern w:val="0"/>
          <w:sz w:val="32"/>
          <w:szCs w:val="32"/>
          <w:lang w:val="en-US" w:eastAsia="zh-CN"/>
        </w:rPr>
        <w:t>配套用房及附属用房等</w:t>
      </w:r>
    </w:p>
    <w:p>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包括公共卫生间、配电房、机房、消防监控室等。公共卫生间、配电房、机房保留现有规模。消防监控室根据《建筑设计防火规范》（GB50016-2018），应设立消防控制室。</w:t>
      </w:r>
    </w:p>
    <w:p>
      <w:pPr>
        <w:keepNext w:val="0"/>
        <w:keepLines w:val="0"/>
        <w:shd w:val="clear" w:color="auto" w:fill="FFFFFF"/>
        <w:spacing w:line="560" w:lineRule="exact"/>
        <w:ind w:firstLine="642" w:firstLineChars="200"/>
        <w:jc w:val="both"/>
        <w:rPr>
          <w:rFonts w:hint="default" w:ascii="仿宋_GB2312" w:hAnsi="仿宋_GB2312" w:eastAsia="仿宋_GB2312" w:cs="仿宋_GB2312"/>
          <w:b/>
          <w:bCs/>
          <w:kern w:val="0"/>
          <w:sz w:val="32"/>
          <w:szCs w:val="32"/>
          <w:lang w:eastAsia="zh-CN"/>
        </w:rPr>
      </w:pPr>
      <w:bookmarkStart w:id="0" w:name="_Toc1658"/>
      <w:bookmarkStart w:id="1" w:name="_Toc17993"/>
      <w:bookmarkStart w:id="2" w:name="_Toc16861"/>
      <w:bookmarkStart w:id="3" w:name="_Toc1940"/>
      <w:r>
        <w:rPr>
          <w:rFonts w:hint="default"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lang w:eastAsia="zh-CN"/>
        </w:rPr>
        <w:t>是</w:t>
      </w:r>
      <w:r>
        <w:rPr>
          <w:rFonts w:hint="eastAsia" w:ascii="仿宋_GB2312" w:hAnsi="仿宋_GB2312" w:eastAsia="仿宋_GB2312" w:cs="仿宋_GB2312"/>
          <w:b/>
          <w:bCs/>
          <w:kern w:val="0"/>
          <w:sz w:val="32"/>
          <w:szCs w:val="32"/>
          <w:lang w:val="en-US" w:eastAsia="zh-CN"/>
        </w:rPr>
        <w:t>室外活动场地</w:t>
      </w:r>
      <w:bookmarkEnd w:id="0"/>
      <w:bookmarkEnd w:id="1"/>
      <w:bookmarkEnd w:id="2"/>
      <w:bookmarkEnd w:id="3"/>
      <w:r>
        <w:rPr>
          <w:rFonts w:hint="default" w:ascii="仿宋_GB2312" w:hAnsi="仿宋_GB2312" w:eastAsia="仿宋_GB2312" w:cs="仿宋_GB2312"/>
          <w:b/>
          <w:bCs/>
          <w:kern w:val="0"/>
          <w:sz w:val="32"/>
          <w:szCs w:val="32"/>
          <w:lang w:eastAsia="zh-CN"/>
        </w:rPr>
        <w:t>方面</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lang w:val="en-US" w:eastAsia="zh-CN"/>
        </w:rPr>
        <w:t>内院场地进行整体翻新改造为多功能球场活动场地，采用EPDM塑胶材料，面积约850平方米；外院场地进行整体翻新，采用细石混凝土材料，作为户外活动区域，面积约500平方米。</w:t>
      </w:r>
    </w:p>
    <w:p>
      <w:pPr>
        <w:shd w:val="clear" w:color="auto" w:fill="FFFFFF"/>
        <w:spacing w:line="560" w:lineRule="exact"/>
        <w:ind w:firstLine="640" w:firstLineChars="200"/>
        <w:rPr>
          <w:rFonts w:hint="default" w:ascii="仿宋_GB2312" w:hAnsi="仿宋" w:eastAsia="仿宋_GB2312" w:cs="Times New Roman"/>
          <w:spacing w:val="0"/>
          <w:kern w:val="0"/>
          <w:sz w:val="32"/>
          <w:szCs w:val="32"/>
          <w:lang w:eastAsia="zh-CN" w:bidi="ar-SA"/>
        </w:rPr>
      </w:pPr>
      <w:bookmarkStart w:id="4" w:name="_Toc24183"/>
      <w:bookmarkStart w:id="5" w:name="_Toc32564"/>
      <w:bookmarkStart w:id="6" w:name="_Toc17986"/>
      <w:bookmarkStart w:id="7" w:name="_Toc30784"/>
      <w:r>
        <w:rPr>
          <w:rFonts w:hint="default"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lang w:val="en-US" w:eastAsia="zh-CN"/>
        </w:rPr>
        <w:t>景观绿化</w:t>
      </w:r>
      <w:bookmarkEnd w:id="4"/>
      <w:bookmarkEnd w:id="5"/>
      <w:bookmarkEnd w:id="6"/>
      <w:bookmarkEnd w:id="7"/>
      <w:r>
        <w:rPr>
          <w:rFonts w:hint="default"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室外活动场地区域设置景观小品及局部绿化，屋面进行绿化。在有限的区域内，规划多层次的空间形态，提供丰富的感官体验及休憩空间，营造舒适的场所。以精心设计、旨在激发感官的自然植被景观和舒适、宁静的调性，让困境未成年人能够最大程度地接触和享受自然。在注重可视性、安全掌控感和无障碍等基本原则的基础上，从困境未成年人的需求出发，规划出不同尺度、不同用途的活动或休憩空间。需注重选用安全无毒的材料以及场所的可持续性等。</w:t>
      </w:r>
    </w:p>
    <w:p>
      <w:pPr>
        <w:pStyle w:val="2"/>
        <w:keepNext w:val="0"/>
        <w:keepLines w:val="0"/>
        <w:pageBreakBefore w:val="0"/>
        <w:widowControl w:val="0"/>
        <w:numPr>
          <w:ilvl w:val="0"/>
          <w:numId w:val="0"/>
        </w:numPr>
        <w:kinsoku/>
        <w:wordWrap/>
        <w:overflowPunct/>
        <w:topLinePunct w:val="0"/>
        <w:autoSpaceDE/>
        <w:autoSpaceDN/>
        <w:bidi w:val="0"/>
        <w:spacing w:before="0" w:line="560" w:lineRule="exact"/>
        <w:ind w:left="0" w:leftChars="0" w:firstLine="642" w:firstLineChars="200"/>
        <w:jc w:val="both"/>
        <w:textAlignment w:val="auto"/>
        <w:rPr>
          <w:rFonts w:hint="default" w:ascii="楷体_GB2312" w:hAnsi="楷体_GB2312" w:eastAsia="楷体_GB2312" w:cs="楷体_GB2312"/>
          <w:b/>
          <w:bCs/>
          <w:spacing w:val="0"/>
          <w:kern w:val="0"/>
          <w:sz w:val="32"/>
          <w:szCs w:val="32"/>
          <w:lang w:val="en-US" w:eastAsia="zh-CN" w:bidi="ar-SA"/>
        </w:rPr>
      </w:pPr>
      <w:r>
        <w:rPr>
          <w:rFonts w:hint="default" w:ascii="楷体_GB2312" w:hAnsi="楷体_GB2312" w:eastAsia="楷体_GB2312" w:cs="楷体_GB2312"/>
          <w:b/>
          <w:bCs/>
          <w:spacing w:val="0"/>
          <w:kern w:val="0"/>
          <w:sz w:val="32"/>
          <w:szCs w:val="32"/>
          <w:lang w:val="en-US" w:eastAsia="zh-CN" w:bidi="ar-SA"/>
        </w:rPr>
        <w:t>（二）建筑造型设计</w:t>
      </w:r>
    </w:p>
    <w:p>
      <w:pPr>
        <w:pStyle w:val="2"/>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仿宋_GB2312" w:hAnsi="仿宋" w:eastAsia="仿宋_GB2312" w:cs="Times New Roman"/>
          <w:spacing w:val="0"/>
          <w:kern w:val="0"/>
          <w:sz w:val="32"/>
          <w:szCs w:val="32"/>
          <w:lang w:eastAsia="zh-CN" w:bidi="ar-SA"/>
        </w:rPr>
      </w:pPr>
      <w:r>
        <w:rPr>
          <w:rFonts w:hint="default" w:ascii="仿宋_GB2312" w:hAnsi="仿宋" w:eastAsia="仿宋_GB2312" w:cs="Times New Roman"/>
          <w:spacing w:val="0"/>
          <w:kern w:val="0"/>
          <w:sz w:val="32"/>
          <w:szCs w:val="32"/>
          <w:lang w:eastAsia="zh-CN" w:bidi="ar-SA"/>
        </w:rPr>
        <w:t>通过选择门窗、百叶和外墙涂料材料,使得建筑具有温馨和治愈氛围。空间布局上,设置室外的活动阳台,给未成年的儿童提供室外的交流沟通空间,竖向上产生视线的交流。</w:t>
      </w:r>
    </w:p>
    <w:p>
      <w:pPr>
        <w:pStyle w:val="5"/>
        <w:keepNext w:val="0"/>
        <w:keepLines w:val="0"/>
        <w:pageBreakBefore w:val="0"/>
        <w:widowControl w:val="0"/>
        <w:numPr>
          <w:ilvl w:val="-1"/>
          <w:numId w:val="0"/>
        </w:numPr>
        <w:kinsoku/>
        <w:wordWrap/>
        <w:overflowPunct/>
        <w:topLinePunct w:val="0"/>
        <w:autoSpaceDE/>
        <w:autoSpaceDN/>
        <w:bidi w:val="0"/>
        <w:spacing w:before="0" w:beforeLines="0" w:line="560" w:lineRule="exact"/>
        <w:ind w:left="0" w:leftChars="0" w:firstLine="642" w:firstLineChars="200"/>
        <w:textAlignment w:val="auto"/>
        <w:rPr>
          <w:rFonts w:hint="eastAsia" w:ascii="仿宋_GB2312" w:hAnsi="仿宋_GB2312" w:eastAsia="仿宋_GB2312" w:cs="仿宋_GB2312"/>
          <w:sz w:val="32"/>
          <w:szCs w:val="32"/>
          <w:lang w:eastAsia="zh-CN"/>
        </w:rPr>
      </w:pPr>
      <w:bookmarkStart w:id="8" w:name="_Toc108193777"/>
      <w:bookmarkStart w:id="9" w:name="_Toc30043"/>
      <w:bookmarkStart w:id="10" w:name="_Toc27738"/>
      <w:bookmarkStart w:id="11" w:name="_Toc10517"/>
      <w:bookmarkStart w:id="12" w:name="_Toc8495"/>
      <w:bookmarkStart w:id="13" w:name="_Toc24792"/>
      <w:bookmarkStart w:id="14" w:name="_Toc31758"/>
      <w:bookmarkStart w:id="15" w:name="_Toc26188"/>
      <w:bookmarkStart w:id="16" w:name="_Toc3432"/>
      <w:bookmarkStart w:id="17" w:name="_Toc29761"/>
      <w:bookmarkStart w:id="18" w:name="_Toc21540"/>
      <w:bookmarkStart w:id="19" w:name="_Toc26721"/>
      <w:bookmarkStart w:id="20" w:name="_Toc26818"/>
      <w:bookmarkStart w:id="21" w:name="_Toc22406"/>
      <w:bookmarkStart w:id="22" w:name="_Toc22906"/>
      <w:bookmarkStart w:id="23" w:name="_Toc31598"/>
      <w:bookmarkStart w:id="24" w:name="_Toc24109"/>
      <w:bookmarkStart w:id="25" w:name="_Toc93578857"/>
      <w:bookmarkStart w:id="26" w:name="_Toc108193775"/>
      <w:bookmarkStart w:id="27" w:name="_Toc15570430"/>
      <w:bookmarkStart w:id="28" w:name="_Toc44430172"/>
      <w:bookmarkStart w:id="29" w:name="_Toc16877"/>
      <w:bookmarkStart w:id="30" w:name="_Toc485117651"/>
      <w:bookmarkStart w:id="31" w:name="_Toc497844994"/>
      <w:bookmarkStart w:id="32" w:name="_Toc19414"/>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en-US" w:eastAsia="zh-CN"/>
        </w:rPr>
        <w:t>外立面</w:t>
      </w:r>
      <w:bookmarkEnd w:id="8"/>
      <w:r>
        <w:rPr>
          <w:rFonts w:hint="eastAsia" w:ascii="仿宋_GB2312" w:hAnsi="仿宋_GB2312" w:eastAsia="仿宋_GB2312" w:cs="仿宋_GB2312"/>
          <w:sz w:val="32"/>
          <w:szCs w:val="32"/>
          <w:lang w:val="en-US" w:eastAsia="zh-CN"/>
        </w:rPr>
        <w:t>修缮工程</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pStyle w:val="6"/>
        <w:keepNext w:val="0"/>
        <w:keepLines w:val="0"/>
        <w:pageBreakBefore w:val="0"/>
        <w:widowControl w:val="0"/>
        <w:numPr>
          <w:ilvl w:val="-1"/>
          <w:numId w:val="0"/>
        </w:numPr>
        <w:kinsoku/>
        <w:wordWrap/>
        <w:overflowPunct/>
        <w:topLinePunct w:val="0"/>
        <w:autoSpaceDE/>
        <w:autoSpaceDN/>
        <w:bidi w:val="0"/>
        <w:spacing w:before="0" w:beforeLines="0" w:line="560" w:lineRule="exact"/>
        <w:ind w:left="0"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外墙面工程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6月，市未保中心组织专家组针对未保大楼外墙面开展论证，专家组一致认为需全部铲除外墙抹灰砂浆层，设计外墙色彩，恢复外墙涂料。根据未保大楼外墙抹灰检测评估报告检测结果，建筑物外墙脱落、空鼓、开裂较严重，为彻底根治抹灰空鼓脱落病害，需全面铲除抹灰重新对外墙进行装饰装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外墙面主要采用涂料，搭配部分空调格栅等装饰构件，涂料以白色、乳白色、米黄色等浅色调为主，达到色调明快、简洁大方、自然和谐、统一标识、美观时尚的形象效果。</w:t>
      </w:r>
    </w:p>
    <w:bookmarkEnd w:id="25"/>
    <w:bookmarkEnd w:id="26"/>
    <w:bookmarkEnd w:id="27"/>
    <w:bookmarkEnd w:id="28"/>
    <w:bookmarkEnd w:id="29"/>
    <w:bookmarkEnd w:id="30"/>
    <w:bookmarkEnd w:id="31"/>
    <w:bookmarkEnd w:id="32"/>
    <w:p>
      <w:pPr>
        <w:pStyle w:val="6"/>
        <w:keepNext w:val="0"/>
        <w:keepLines w:val="0"/>
        <w:pageBreakBefore w:val="0"/>
        <w:widowControl w:val="0"/>
        <w:numPr>
          <w:ilvl w:val="-1"/>
          <w:numId w:val="0"/>
        </w:numPr>
        <w:kinsoku/>
        <w:wordWrap/>
        <w:overflowPunct/>
        <w:topLinePunct w:val="0"/>
        <w:autoSpaceDE/>
        <w:autoSpaceDN/>
        <w:bidi w:val="0"/>
        <w:spacing w:before="0" w:beforeLines="0" w:line="560" w:lineRule="exact"/>
        <w:ind w:left="0" w:firstLine="642" w:firstLineChars="200"/>
        <w:textAlignment w:val="auto"/>
        <w:rPr>
          <w:rFonts w:hint="eastAsia" w:ascii="仿宋_GB2312" w:hAnsi="仿宋_GB2312" w:eastAsia="仿宋_GB2312" w:cs="仿宋_GB2312"/>
          <w:sz w:val="32"/>
          <w:szCs w:val="32"/>
          <w:lang w:val="en-US" w:eastAsia="zh-CN"/>
        </w:rPr>
      </w:pPr>
      <w:bookmarkStart w:id="33" w:name="_Toc19231"/>
      <w:bookmarkStart w:id="34" w:name="_Toc16798"/>
      <w:bookmarkStart w:id="35" w:name="_Toc7302"/>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val="en-US" w:eastAsia="zh-CN"/>
        </w:rPr>
        <w:t>窗户、栏杆工程</w:t>
      </w:r>
      <w:bookmarkEnd w:id="33"/>
      <w:bookmarkEnd w:id="34"/>
      <w:bookmarkEnd w:id="35"/>
      <w:bookmarkStart w:id="36" w:name="_Toc485117652"/>
      <w:bookmarkStart w:id="37" w:name="_Toc497844995"/>
      <w:bookmarkStart w:id="38" w:name="_Toc2233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（1）外窗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现状外窗采用塑钢窗，耐老化性能差，水密性能不佳，雨天出现漏水情况严重，需全部进行更换。新窗采用普通铝合金材质窗。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（2）走廊栏杆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根据《民用建筑设计统一标准》GB50352-2019第6.7.3条 2.当临空高度在24.0m以下时，栏杆高度不应低于1.05m;当临空高度在24.0m及以上时，栏杆高度不应低于1.1m。上人屋面和交通、商业、旅馆、医院、学校等建筑临开敞中庭的栏杆高度不应小于1.2m。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现状走廊栏杆存在不同程度的松动、锈蚀情况，同时项目考虑服务对象可能存在偏激行为等，为保障困境未成年人安全，走廊栏杆需全部拆除并更换为钢栏杆，高度设置为1.4m。</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（3）封闭玻璃窗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考虑部分困境未成年人可能存在的自杀倾向、抑郁症等情况，需在评估结束前构建安全封闭区域，因此在三层一站式权益保障用房区域、类家庭区域走廊设置全封闭玻璃窗（钢化夹胶玻璃）。</w:t>
      </w:r>
    </w:p>
    <w:bookmarkEnd w:id="36"/>
    <w:bookmarkEnd w:id="37"/>
    <w:bookmarkEnd w:id="38"/>
    <w:p>
      <w:pPr>
        <w:pStyle w:val="5"/>
        <w:keepNext w:val="0"/>
        <w:keepLines w:val="0"/>
        <w:pageBreakBefore w:val="0"/>
        <w:widowControl w:val="0"/>
        <w:numPr>
          <w:ilvl w:val="-1"/>
          <w:numId w:val="0"/>
        </w:numPr>
        <w:kinsoku/>
        <w:wordWrap/>
        <w:overflowPunct/>
        <w:topLinePunct w:val="0"/>
        <w:autoSpaceDE/>
        <w:autoSpaceDN/>
        <w:bidi w:val="0"/>
        <w:spacing w:before="0" w:beforeLines="0" w:line="560" w:lineRule="exact"/>
        <w:ind w:left="0" w:leftChars="0" w:firstLine="642" w:firstLineChars="200"/>
        <w:textAlignment w:val="auto"/>
        <w:rPr>
          <w:rFonts w:hint="default" w:ascii="仿宋_GB2312" w:hAnsi="仿宋_GB2312" w:eastAsia="仿宋_GB2312" w:cs="仿宋_GB2312"/>
          <w:sz w:val="32"/>
          <w:szCs w:val="32"/>
          <w:lang w:eastAsia="zh-CN"/>
        </w:rPr>
      </w:pPr>
      <w:bookmarkStart w:id="39" w:name="_Toc14870"/>
      <w:bookmarkStart w:id="40" w:name="_Toc19630"/>
      <w:bookmarkStart w:id="41" w:name="_Toc8091"/>
      <w:bookmarkStart w:id="42" w:name="_Toc28709"/>
      <w:bookmarkStart w:id="43" w:name="_Toc15654"/>
      <w:bookmarkStart w:id="44" w:name="_Toc4432"/>
      <w:bookmarkStart w:id="45" w:name="_Toc25700"/>
      <w:bookmarkStart w:id="46" w:name="_Toc4737"/>
      <w:bookmarkStart w:id="47" w:name="_Toc21042"/>
      <w:bookmarkStart w:id="48" w:name="_Toc19124"/>
      <w:bookmarkStart w:id="49" w:name="_Toc31920"/>
      <w:bookmarkStart w:id="50" w:name="_Toc21664"/>
      <w:bookmarkStart w:id="51" w:name="_Toc22351"/>
      <w:bookmarkStart w:id="52" w:name="_Toc30736"/>
      <w:bookmarkStart w:id="53" w:name="_Toc3776"/>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lang w:val="en-US" w:eastAsia="zh-CN"/>
        </w:rPr>
        <w:t>屋面改造工程</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现状顶层屋面防水保护层材料老化严重，鼓起开裂严重。需拆除现状屋面所有防水层及保温层至结构层，重新做屋面防水及面层。</w:t>
      </w:r>
    </w:p>
    <w:p>
      <w:pPr>
        <w:pStyle w:val="2"/>
        <w:keepNext w:val="0"/>
        <w:keepLines w:val="0"/>
        <w:pageBreakBefore w:val="0"/>
        <w:widowControl w:val="0"/>
        <w:numPr>
          <w:ilvl w:val="0"/>
          <w:numId w:val="0"/>
        </w:numPr>
        <w:kinsoku/>
        <w:wordWrap/>
        <w:overflowPunct/>
        <w:topLinePunct w:val="0"/>
        <w:autoSpaceDE/>
        <w:autoSpaceDN/>
        <w:bidi w:val="0"/>
        <w:spacing w:before="0" w:line="560" w:lineRule="exact"/>
        <w:ind w:left="0" w:leftChars="0" w:firstLine="642" w:firstLineChars="200"/>
        <w:jc w:val="both"/>
        <w:textAlignment w:val="auto"/>
        <w:rPr>
          <w:rFonts w:hint="default" w:ascii="楷体_GB2312" w:hAnsi="楷体_GB2312" w:eastAsia="楷体_GB2312" w:cs="楷体_GB2312"/>
          <w:b/>
          <w:bCs/>
          <w:spacing w:val="0"/>
          <w:kern w:val="0"/>
          <w:sz w:val="32"/>
          <w:szCs w:val="32"/>
          <w:lang w:val="en-US" w:eastAsia="zh-CN" w:bidi="ar-SA"/>
        </w:rPr>
      </w:pPr>
      <w:r>
        <w:rPr>
          <w:rFonts w:hint="default" w:ascii="楷体_GB2312" w:hAnsi="楷体_GB2312" w:eastAsia="楷体_GB2312" w:cs="楷体_GB2312"/>
          <w:b/>
          <w:bCs/>
          <w:spacing w:val="0"/>
          <w:kern w:val="0"/>
          <w:sz w:val="32"/>
          <w:szCs w:val="32"/>
          <w:lang w:val="en-US" w:eastAsia="zh-CN" w:bidi="ar-SA"/>
        </w:rPr>
        <w:t>（</w:t>
      </w:r>
      <w:r>
        <w:rPr>
          <w:rFonts w:hint="default" w:ascii="楷体_GB2312" w:hAnsi="楷体_GB2312" w:eastAsia="楷体_GB2312" w:cs="楷体_GB2312"/>
          <w:b/>
          <w:bCs/>
          <w:spacing w:val="0"/>
          <w:kern w:val="0"/>
          <w:sz w:val="32"/>
          <w:szCs w:val="32"/>
          <w:lang w:eastAsia="zh-CN" w:bidi="ar-SA"/>
        </w:rPr>
        <w:t>三</w:t>
      </w:r>
      <w:r>
        <w:rPr>
          <w:rFonts w:hint="default" w:ascii="楷体_GB2312" w:hAnsi="楷体_GB2312" w:eastAsia="楷体_GB2312" w:cs="楷体_GB2312"/>
          <w:b/>
          <w:bCs/>
          <w:spacing w:val="0"/>
          <w:kern w:val="0"/>
          <w:sz w:val="32"/>
          <w:szCs w:val="32"/>
          <w:lang w:val="en-US" w:eastAsia="zh-CN" w:bidi="ar-SA"/>
        </w:rPr>
        <w:t>）室内及景观设计</w:t>
      </w:r>
    </w:p>
    <w:p>
      <w:pPr>
        <w:pStyle w:val="2"/>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仿宋_GB2312" w:hAnsi="仿宋" w:eastAsia="仿宋_GB2312" w:cs="Times New Roman"/>
          <w:spacing w:val="0"/>
          <w:kern w:val="0"/>
          <w:sz w:val="32"/>
          <w:szCs w:val="32"/>
          <w:lang w:eastAsia="zh-CN" w:bidi="ar-SA"/>
        </w:rPr>
      </w:pPr>
      <w:r>
        <w:rPr>
          <w:rFonts w:hint="default" w:ascii="仿宋_GB2312" w:hAnsi="仿宋" w:eastAsia="仿宋_GB2312" w:cs="Times New Roman"/>
          <w:spacing w:val="0"/>
          <w:kern w:val="0"/>
          <w:sz w:val="32"/>
          <w:szCs w:val="32"/>
          <w:lang w:eastAsia="zh-CN" w:bidi="ar-SA"/>
        </w:rPr>
        <w:t>室内根据房间的功能需求，配置对应的内部装修做法。</w:t>
      </w:r>
    </w:p>
    <w:p>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jc w:val="both"/>
        <w:textAlignment w:val="auto"/>
        <w:rPr>
          <w:rFonts w:hint="eastAsia" w:ascii="仿宋_GB2312" w:hAnsi="仿宋" w:eastAsia="仿宋_GB2312" w:cs="Times New Roman"/>
          <w:spacing w:val="0"/>
          <w:kern w:val="0"/>
          <w:sz w:val="32"/>
          <w:szCs w:val="32"/>
          <w:lang w:val="en-US" w:eastAsia="zh-CN"/>
        </w:rPr>
      </w:pPr>
      <w:r>
        <w:rPr>
          <w:rFonts w:hint="eastAsia" w:ascii="仿宋_GB2312" w:hAnsi="仿宋" w:eastAsia="仿宋_GB2312" w:cs="Times New Roman"/>
          <w:spacing w:val="0"/>
          <w:kern w:val="0"/>
          <w:sz w:val="32"/>
          <w:szCs w:val="32"/>
          <w:lang w:val="en-US" w:eastAsia="zh-CN"/>
        </w:rPr>
        <w:t>室外活动场地区域</w:t>
      </w:r>
      <w:r>
        <w:rPr>
          <w:rFonts w:hint="default" w:ascii="仿宋_GB2312" w:hAnsi="仿宋" w:eastAsia="仿宋_GB2312" w:cs="Times New Roman"/>
          <w:spacing w:val="0"/>
          <w:kern w:val="0"/>
          <w:sz w:val="32"/>
          <w:szCs w:val="32"/>
          <w:lang w:val="en-US" w:eastAsia="zh-CN"/>
        </w:rPr>
        <w:t>设置景观小品</w:t>
      </w:r>
      <w:r>
        <w:rPr>
          <w:rFonts w:hint="eastAsia" w:ascii="仿宋_GB2312" w:hAnsi="仿宋" w:eastAsia="仿宋_GB2312" w:cs="Times New Roman"/>
          <w:spacing w:val="0"/>
          <w:kern w:val="0"/>
          <w:sz w:val="32"/>
          <w:szCs w:val="32"/>
          <w:lang w:val="en-US" w:eastAsia="zh-CN"/>
        </w:rPr>
        <w:t>及局部绿化</w:t>
      </w:r>
      <w:r>
        <w:rPr>
          <w:rFonts w:hint="default" w:ascii="仿宋_GB2312" w:hAnsi="仿宋" w:eastAsia="仿宋_GB2312" w:cs="Times New Roman"/>
          <w:spacing w:val="0"/>
          <w:kern w:val="0"/>
          <w:sz w:val="32"/>
          <w:szCs w:val="32"/>
          <w:lang w:val="en-US" w:eastAsia="zh-CN"/>
        </w:rPr>
        <w:t>，屋面</w:t>
      </w:r>
      <w:r>
        <w:rPr>
          <w:rFonts w:hint="eastAsia" w:ascii="仿宋_GB2312" w:hAnsi="仿宋" w:eastAsia="仿宋_GB2312" w:cs="Times New Roman"/>
          <w:spacing w:val="0"/>
          <w:kern w:val="0"/>
          <w:sz w:val="32"/>
          <w:szCs w:val="32"/>
          <w:lang w:val="en-US" w:eastAsia="zh-CN"/>
        </w:rPr>
        <w:t>进行</w:t>
      </w:r>
      <w:r>
        <w:rPr>
          <w:rFonts w:hint="default" w:ascii="仿宋_GB2312" w:hAnsi="仿宋" w:eastAsia="仿宋_GB2312" w:cs="Times New Roman"/>
          <w:spacing w:val="0"/>
          <w:kern w:val="0"/>
          <w:sz w:val="32"/>
          <w:szCs w:val="32"/>
          <w:lang w:val="en-US" w:eastAsia="zh-CN"/>
        </w:rPr>
        <w:t>绿化</w:t>
      </w:r>
      <w:r>
        <w:rPr>
          <w:rFonts w:hint="eastAsia" w:ascii="仿宋_GB2312" w:hAnsi="仿宋" w:eastAsia="仿宋_GB2312" w:cs="Times New Roman"/>
          <w:spacing w:val="0"/>
          <w:kern w:val="0"/>
          <w:sz w:val="32"/>
          <w:szCs w:val="32"/>
          <w:lang w:val="en-US" w:eastAsia="zh-CN"/>
        </w:rPr>
        <w:t>。在有限的区域内，规划多层次的空间形态，提供丰富的感官体验及休憩空间，营造舒适的场所。</w:t>
      </w:r>
    </w:p>
    <w:p>
      <w:pPr>
        <w:pStyle w:val="2"/>
        <w:keepNext w:val="0"/>
        <w:keepLines w:val="0"/>
        <w:pageBreakBefore w:val="0"/>
        <w:widowControl w:val="0"/>
        <w:kinsoku/>
        <w:wordWrap/>
        <w:overflowPunct/>
        <w:topLinePunct w:val="0"/>
        <w:autoSpaceDE/>
        <w:autoSpaceDN/>
        <w:bidi w:val="0"/>
        <w:spacing w:before="0" w:line="560" w:lineRule="exact"/>
        <w:ind w:firstLine="642" w:firstLineChars="200"/>
        <w:textAlignment w:val="auto"/>
        <w:rPr>
          <w:rFonts w:hint="eastAsia" w:ascii="仿宋_GB2312" w:hAnsi="仿宋" w:eastAsia="仿宋_GB2312"/>
          <w:b/>
          <w:bCs/>
          <w:kern w:val="0"/>
          <w:sz w:val="32"/>
          <w:szCs w:val="32"/>
          <w:lang w:eastAsia="zh-CN"/>
        </w:rPr>
      </w:pPr>
      <w:r>
        <w:rPr>
          <w:rFonts w:hint="eastAsia" w:ascii="仿宋_GB2312" w:hAnsi="仿宋" w:eastAsia="仿宋_GB2312"/>
          <w:b/>
          <w:bCs/>
          <w:kern w:val="0"/>
          <w:sz w:val="32"/>
          <w:szCs w:val="32"/>
          <w:lang w:eastAsia="zh-CN"/>
        </w:rPr>
        <w:t>1</w:t>
      </w:r>
      <w:r>
        <w:rPr>
          <w:rFonts w:hint="default" w:ascii="仿宋_GB2312" w:hAnsi="仿宋" w:eastAsia="仿宋_GB2312"/>
          <w:b/>
          <w:bCs/>
          <w:kern w:val="0"/>
          <w:sz w:val="32"/>
          <w:szCs w:val="32"/>
          <w:lang w:eastAsia="zh-CN"/>
        </w:rPr>
        <w:t>.</w:t>
      </w:r>
      <w:r>
        <w:rPr>
          <w:rFonts w:hint="eastAsia" w:ascii="仿宋_GB2312" w:hAnsi="仿宋" w:eastAsia="仿宋_GB2312"/>
          <w:b/>
          <w:bCs/>
          <w:kern w:val="0"/>
          <w:sz w:val="32"/>
          <w:szCs w:val="32"/>
          <w:lang w:eastAsia="zh-CN"/>
        </w:rPr>
        <w:t>室内装修原则</w:t>
      </w:r>
    </w:p>
    <w:p>
      <w:pPr>
        <w:pStyle w:val="2"/>
        <w:keepNext w:val="0"/>
        <w:keepLines w:val="0"/>
        <w:pageBreakBefore w:val="0"/>
        <w:widowControl w:val="0"/>
        <w:kinsoku/>
        <w:wordWrap/>
        <w:overflowPunct/>
        <w:topLinePunct w:val="0"/>
        <w:autoSpaceDE/>
        <w:autoSpaceDN/>
        <w:bidi w:val="0"/>
        <w:spacing w:before="0" w:line="560" w:lineRule="exact"/>
        <w:ind w:firstLine="640"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kern w:val="0"/>
          <w:sz w:val="32"/>
          <w:szCs w:val="32"/>
          <w:lang w:eastAsia="zh-CN"/>
        </w:rPr>
        <w:t>（1）安全原则</w:t>
      </w:r>
      <w:r>
        <w:rPr>
          <w:rFonts w:hint="default" w:ascii="仿宋_GB2312" w:hAnsi="仿宋" w:eastAsia="仿宋_GB2312"/>
          <w:kern w:val="0"/>
          <w:sz w:val="32"/>
          <w:szCs w:val="32"/>
          <w:lang w:eastAsia="zh-CN"/>
        </w:rPr>
        <w:t>。</w:t>
      </w:r>
      <w:r>
        <w:rPr>
          <w:rFonts w:hint="eastAsia" w:ascii="仿宋_GB2312" w:hAnsi="仿宋" w:eastAsia="仿宋_GB2312"/>
          <w:kern w:val="0"/>
          <w:sz w:val="32"/>
          <w:szCs w:val="32"/>
          <w:lang w:eastAsia="zh-CN"/>
        </w:rPr>
        <w:t>室内装修要保证建筑构造的安全，不得破坏结构主体；要注意防火安全，根据建筑的防火等级选择装修材料。</w:t>
      </w:r>
    </w:p>
    <w:p>
      <w:pPr>
        <w:pStyle w:val="2"/>
        <w:keepNext w:val="0"/>
        <w:keepLines w:val="0"/>
        <w:pageBreakBefore w:val="0"/>
        <w:widowControl w:val="0"/>
        <w:kinsoku/>
        <w:wordWrap/>
        <w:overflowPunct/>
        <w:topLinePunct w:val="0"/>
        <w:autoSpaceDE/>
        <w:autoSpaceDN/>
        <w:bidi w:val="0"/>
        <w:spacing w:before="0" w:line="560" w:lineRule="exact"/>
        <w:ind w:firstLine="640"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kern w:val="0"/>
          <w:sz w:val="32"/>
          <w:szCs w:val="32"/>
          <w:lang w:eastAsia="zh-CN"/>
        </w:rPr>
        <w:t>（2）节能环保原则</w:t>
      </w:r>
      <w:r>
        <w:rPr>
          <w:rFonts w:hint="default" w:ascii="仿宋_GB2312" w:hAnsi="仿宋" w:eastAsia="仿宋_GB2312"/>
          <w:kern w:val="0"/>
          <w:sz w:val="32"/>
          <w:szCs w:val="32"/>
          <w:lang w:eastAsia="zh-CN"/>
        </w:rPr>
        <w:t>。</w:t>
      </w:r>
      <w:r>
        <w:rPr>
          <w:rFonts w:hint="eastAsia" w:ascii="仿宋_GB2312" w:hAnsi="仿宋" w:eastAsia="仿宋_GB2312"/>
          <w:kern w:val="0"/>
          <w:sz w:val="32"/>
          <w:szCs w:val="32"/>
          <w:lang w:eastAsia="zh-CN"/>
        </w:rPr>
        <w:t>装修使用环保型、可重复使用、可循环使用、可再生使用的材料，选用高效节能的光源及照明新技术，选用无毒、无害、无污染，有益于人体健康的装修材料和产品。</w:t>
      </w:r>
    </w:p>
    <w:p>
      <w:pPr>
        <w:pStyle w:val="2"/>
        <w:keepNext w:val="0"/>
        <w:keepLines w:val="0"/>
        <w:pageBreakBefore w:val="0"/>
        <w:widowControl w:val="0"/>
        <w:kinsoku/>
        <w:wordWrap/>
        <w:overflowPunct/>
        <w:topLinePunct w:val="0"/>
        <w:autoSpaceDE/>
        <w:autoSpaceDN/>
        <w:bidi w:val="0"/>
        <w:spacing w:before="0" w:line="560" w:lineRule="exact"/>
        <w:ind w:firstLine="640"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kern w:val="0"/>
          <w:sz w:val="32"/>
          <w:szCs w:val="32"/>
          <w:lang w:eastAsia="zh-CN"/>
        </w:rPr>
        <w:t>（3）美观原则</w:t>
      </w:r>
      <w:r>
        <w:rPr>
          <w:rFonts w:hint="default" w:ascii="仿宋_GB2312" w:hAnsi="仿宋" w:eastAsia="仿宋_GB2312"/>
          <w:kern w:val="0"/>
          <w:sz w:val="32"/>
          <w:szCs w:val="32"/>
          <w:lang w:eastAsia="zh-CN"/>
        </w:rPr>
        <w:t>。</w:t>
      </w:r>
      <w:r>
        <w:rPr>
          <w:rFonts w:hint="eastAsia" w:ascii="仿宋_GB2312" w:hAnsi="仿宋" w:eastAsia="仿宋_GB2312"/>
          <w:kern w:val="0"/>
          <w:sz w:val="32"/>
          <w:szCs w:val="32"/>
          <w:lang w:eastAsia="zh-CN"/>
        </w:rPr>
        <w:t>正确搭配使用材料，充分发挥和利用其质感、机理、色彩的性质，注意室内空间的完整性、统一性，在满足室内使用功能的前提下，做到美观、舒适、经济、适用。</w:t>
      </w:r>
    </w:p>
    <w:p>
      <w:pPr>
        <w:pStyle w:val="2"/>
        <w:keepNext w:val="0"/>
        <w:keepLines w:val="0"/>
        <w:pageBreakBefore w:val="0"/>
        <w:widowControl w:val="0"/>
        <w:kinsoku/>
        <w:wordWrap/>
        <w:overflowPunct/>
        <w:topLinePunct w:val="0"/>
        <w:autoSpaceDE/>
        <w:autoSpaceDN/>
        <w:bidi w:val="0"/>
        <w:spacing w:before="0" w:line="560" w:lineRule="exact"/>
        <w:ind w:firstLine="642" w:firstLineChars="200"/>
        <w:textAlignment w:val="auto"/>
        <w:rPr>
          <w:rFonts w:hint="eastAsia" w:ascii="仿宋_GB2312" w:hAnsi="仿宋" w:eastAsia="仿宋_GB2312"/>
          <w:b/>
          <w:bCs/>
          <w:kern w:val="0"/>
          <w:sz w:val="32"/>
          <w:szCs w:val="32"/>
          <w:lang w:eastAsia="zh-CN"/>
        </w:rPr>
      </w:pPr>
      <w:r>
        <w:rPr>
          <w:rFonts w:hint="eastAsia" w:ascii="仿宋_GB2312" w:hAnsi="仿宋" w:eastAsia="仿宋_GB2312"/>
          <w:b/>
          <w:bCs/>
          <w:kern w:val="0"/>
          <w:sz w:val="32"/>
          <w:szCs w:val="32"/>
          <w:lang w:eastAsia="zh-CN"/>
        </w:rPr>
        <w:t>2</w:t>
      </w:r>
      <w:r>
        <w:rPr>
          <w:rFonts w:hint="default" w:ascii="仿宋_GB2312" w:hAnsi="仿宋" w:eastAsia="仿宋_GB2312"/>
          <w:b/>
          <w:bCs/>
          <w:kern w:val="0"/>
          <w:sz w:val="32"/>
          <w:szCs w:val="32"/>
          <w:lang w:eastAsia="zh-CN"/>
        </w:rPr>
        <w:t>.</w:t>
      </w:r>
      <w:r>
        <w:rPr>
          <w:rFonts w:hint="eastAsia" w:ascii="仿宋_GB2312" w:hAnsi="仿宋" w:eastAsia="仿宋_GB2312"/>
          <w:b/>
          <w:bCs/>
          <w:kern w:val="0"/>
          <w:sz w:val="32"/>
          <w:szCs w:val="32"/>
          <w:lang w:eastAsia="zh-CN"/>
        </w:rPr>
        <w:t>装修范围及做法</w:t>
      </w:r>
    </w:p>
    <w:p>
      <w:pPr>
        <w:pStyle w:val="2"/>
        <w:keepNext w:val="0"/>
        <w:keepLines w:val="0"/>
        <w:pageBreakBefore w:val="0"/>
        <w:widowControl w:val="0"/>
        <w:kinsoku/>
        <w:wordWrap/>
        <w:overflowPunct/>
        <w:topLinePunct w:val="0"/>
        <w:autoSpaceDE/>
        <w:autoSpaceDN/>
        <w:bidi w:val="0"/>
        <w:spacing w:before="0" w:line="560" w:lineRule="exact"/>
        <w:ind w:firstLine="640" w:firstLineChars="200"/>
        <w:textAlignment w:val="auto"/>
        <w:rPr>
          <w:rFonts w:hint="eastAsia" w:ascii="仿宋_GB2312" w:hAnsi="仿宋" w:eastAsia="仿宋_GB2312"/>
          <w:kern w:val="0"/>
          <w:sz w:val="32"/>
          <w:szCs w:val="32"/>
          <w:lang w:eastAsia="zh-CN"/>
        </w:rPr>
      </w:pPr>
      <w:r>
        <w:rPr>
          <w:rFonts w:hint="eastAsia" w:ascii="仿宋_GB2312" w:hAnsi="仿宋" w:eastAsia="仿宋_GB2312"/>
          <w:kern w:val="0"/>
          <w:sz w:val="32"/>
          <w:szCs w:val="32"/>
          <w:lang w:eastAsia="zh-CN"/>
        </w:rPr>
        <w:t>根据前述功能需求分析，未保大楼用房除二层类家庭区域、调度中心、个案会商室、社会组织支持中心外，其他区域均需重新进行室内装修。</w:t>
      </w:r>
    </w:p>
    <w:p>
      <w:pPr>
        <w:spacing w:line="360" w:lineRule="auto"/>
        <w:jc w:val="center"/>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装修范围及做法表</w:t>
      </w:r>
    </w:p>
    <w:tbl>
      <w:tblPr>
        <w:tblStyle w:val="10"/>
        <w:tblW w:w="524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9"/>
        <w:gridCol w:w="1839"/>
        <w:gridCol w:w="1422"/>
        <w:gridCol w:w="5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序号</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区域</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面积（m</w:t>
            </w:r>
            <w:r>
              <w:rPr>
                <w:rFonts w:hint="eastAsia"/>
                <w:b/>
                <w:bCs w:val="0"/>
                <w:vertAlign w:val="superscript"/>
                <w:lang w:val="en-US" w:eastAsia="zh-CN"/>
              </w:rPr>
              <w:t>2</w:t>
            </w:r>
            <w:r>
              <w:rPr>
                <w:rFonts w:hint="eastAsia"/>
                <w:b/>
                <w:bCs w:val="0"/>
                <w:lang w:val="en-US" w:eastAsia="zh-CN"/>
              </w:rPr>
              <w:t>）</w:t>
            </w:r>
          </w:p>
        </w:tc>
        <w:tc>
          <w:tcPr>
            <w:tcW w:w="276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装修做法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1</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改造区域</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lang w:val="en-US" w:eastAsia="zh-CN"/>
              </w:rPr>
            </w:pPr>
            <w:r>
              <w:rPr>
                <w:rFonts w:hint="eastAsia"/>
                <w:b/>
                <w:bCs w:val="0"/>
                <w:lang w:val="en-US" w:eastAsia="zh-CN"/>
              </w:rPr>
              <w:t>3364.07</w:t>
            </w:r>
          </w:p>
        </w:tc>
        <w:tc>
          <w:tcPr>
            <w:tcW w:w="2760" w:type="pct"/>
            <w:tcBorders>
              <w:top w:val="single" w:color="000000" w:sz="4" w:space="0"/>
              <w:left w:val="single" w:color="000000" w:sz="4" w:space="0"/>
              <w:bottom w:val="single" w:color="000000" w:sz="4" w:space="0"/>
              <w:right w:val="single" w:color="000000" w:sz="4" w:space="0"/>
            </w:tcBorders>
            <w:noWrap w:val="0"/>
            <w:vAlign w:val="center"/>
          </w:tcPr>
          <w:p>
            <w:pPr>
              <w:pStyle w:val="12"/>
              <w:bidi w:val="0"/>
              <w:rPr>
                <w:rFonts w:hint="eastAsia"/>
                <w:b/>
                <w:bCs w:val="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1.1</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功能用房提升</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default"/>
                <w:lang w:val="en-US"/>
              </w:rPr>
            </w:pPr>
            <w:r>
              <w:rPr>
                <w:rFonts w:hint="eastAsia"/>
                <w:lang w:val="en-US" w:eastAsia="zh-CN"/>
              </w:rPr>
              <w:t>2006.37</w:t>
            </w:r>
          </w:p>
        </w:tc>
        <w:tc>
          <w:tcPr>
            <w:tcW w:w="2760" w:type="pct"/>
            <w:tcBorders>
              <w:top w:val="single" w:color="000000" w:sz="4" w:space="0"/>
              <w:left w:val="single" w:color="000000" w:sz="4" w:space="0"/>
              <w:bottom w:val="single" w:color="000000" w:sz="4" w:space="0"/>
              <w:right w:val="single" w:color="000000" w:sz="4" w:space="0"/>
            </w:tcBorders>
            <w:noWrap w:val="0"/>
            <w:vAlign w:val="center"/>
          </w:tcPr>
          <w:p>
            <w:pPr>
              <w:pStyle w:val="12"/>
              <w:bidi w:val="0"/>
              <w:jc w:val="left"/>
              <w:rPr>
                <w:rFonts w:hint="eastAsia"/>
              </w:rPr>
            </w:pPr>
            <w:r>
              <w:rPr>
                <w:rFonts w:hint="eastAsia"/>
                <w:lang w:val="en-US" w:eastAsia="zh-CN"/>
              </w:rPr>
              <w:t>含部分未成年人服务功能用房（不含教师办公室、物品保管室、社会工作室、食堂、未成年人居住用房、儿童活动中心），权益保障功能用房、培训培育用房</w:t>
            </w:r>
            <w:r>
              <w:rPr>
                <w:rFonts w:hint="eastAsia"/>
                <w:lang w:val="en-US" w:eastAsia="zh-CN"/>
              </w:rPr>
              <w:br w:type="textWrapping"/>
            </w:r>
            <w:r>
              <w:rPr>
                <w:rFonts w:hint="eastAsia"/>
                <w:lang w:val="en-US" w:eastAsia="zh-CN"/>
              </w:rPr>
              <w:t>1、含内隔墙拆除，新建内墙重新分隔；</w:t>
            </w:r>
            <w:r>
              <w:rPr>
                <w:rFonts w:hint="eastAsia"/>
                <w:lang w:val="en-US" w:eastAsia="zh-CN"/>
              </w:rPr>
              <w:br w:type="textWrapping"/>
            </w:r>
            <w:r>
              <w:rPr>
                <w:rFonts w:hint="eastAsia"/>
                <w:lang w:val="en-US" w:eastAsia="zh-CN"/>
              </w:rPr>
              <w:t>2、天花：部分功能房间采用铝扣板吊顶/石膏板造型吊顶，其他采用腻子+无机涂料</w:t>
            </w:r>
            <w:r>
              <w:rPr>
                <w:rFonts w:hint="eastAsia"/>
                <w:lang w:val="en-US" w:eastAsia="zh-CN"/>
              </w:rPr>
              <w:br w:type="textWrapping"/>
            </w:r>
            <w:r>
              <w:rPr>
                <w:rFonts w:hint="eastAsia"/>
                <w:lang w:val="en-US" w:eastAsia="zh-CN"/>
              </w:rPr>
              <w:t>地面：防滑瓷砖/瓷砖/木地板</w:t>
            </w:r>
            <w:r>
              <w:rPr>
                <w:rFonts w:hint="eastAsia"/>
                <w:lang w:val="en-US" w:eastAsia="zh-CN"/>
              </w:rPr>
              <w:br w:type="textWrapping"/>
            </w:r>
            <w:r>
              <w:rPr>
                <w:rFonts w:hint="eastAsia"/>
                <w:lang w:val="en-US" w:eastAsia="zh-CN"/>
              </w:rPr>
              <w:t>墙面：主要为腻子+乳胶漆，个别功能房间采用瓷砖墙裙/软包</w:t>
            </w:r>
            <w:r>
              <w:rPr>
                <w:rFonts w:hint="eastAsia"/>
                <w:lang w:val="en-US" w:eastAsia="zh-CN"/>
              </w:rPr>
              <w:br w:type="textWrapping"/>
            </w:r>
            <w:r>
              <w:rPr>
                <w:rFonts w:hint="eastAsia"/>
                <w:lang w:val="en-US" w:eastAsia="zh-CN"/>
              </w:rPr>
              <w:t>3、部分功能用房含固定家具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1.2</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卫生间</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538.28</w:t>
            </w:r>
          </w:p>
        </w:tc>
        <w:tc>
          <w:tcPr>
            <w:tcW w:w="2760" w:type="pct"/>
            <w:tcBorders>
              <w:top w:val="single" w:color="000000" w:sz="4" w:space="0"/>
              <w:left w:val="single" w:color="000000" w:sz="4" w:space="0"/>
              <w:bottom w:val="single" w:color="000000" w:sz="4" w:space="0"/>
              <w:right w:val="single" w:color="000000" w:sz="4" w:space="0"/>
            </w:tcBorders>
            <w:noWrap w:val="0"/>
            <w:vAlign w:val="center"/>
          </w:tcPr>
          <w:p>
            <w:pPr>
              <w:pStyle w:val="12"/>
              <w:bidi w:val="0"/>
              <w:jc w:val="left"/>
              <w:rPr>
                <w:rFonts w:hint="eastAsia"/>
              </w:rPr>
            </w:pPr>
            <w:r>
              <w:rPr>
                <w:rFonts w:hint="eastAsia"/>
                <w:lang w:val="en-US" w:eastAsia="zh-CN"/>
              </w:rPr>
              <w:t>1、卫生间防水重做，并重新隔断；</w:t>
            </w:r>
            <w:r>
              <w:rPr>
                <w:rFonts w:hint="eastAsia"/>
                <w:lang w:val="en-US" w:eastAsia="zh-CN"/>
              </w:rPr>
              <w:br w:type="textWrapping"/>
            </w:r>
            <w:r>
              <w:rPr>
                <w:rFonts w:hint="eastAsia"/>
                <w:lang w:val="en-US" w:eastAsia="zh-CN"/>
              </w:rPr>
              <w:t>2、每层公共卫生间至少设置一个无障碍卫生间；</w:t>
            </w:r>
            <w:r>
              <w:rPr>
                <w:rFonts w:hint="eastAsia"/>
                <w:lang w:val="en-US" w:eastAsia="zh-CN"/>
              </w:rPr>
              <w:br w:type="textWrapping"/>
            </w:r>
            <w:r>
              <w:rPr>
                <w:rFonts w:hint="eastAsia"/>
                <w:lang w:val="en-US" w:eastAsia="zh-CN"/>
              </w:rPr>
              <w:t>3、天花：铝扣板吊顶、地面：防滑瓷砖、墙面：瓷砖。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2</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rPr>
            </w:pPr>
            <w:r>
              <w:rPr>
                <w:rFonts w:hint="eastAsia"/>
                <w:b/>
                <w:bCs w:val="0"/>
                <w:lang w:val="en-US" w:eastAsia="zh-CN"/>
              </w:rPr>
              <w:t>修缮区域</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b/>
                <w:bCs w:val="0"/>
                <w:lang w:val="en-US" w:eastAsia="zh-CN"/>
              </w:rPr>
            </w:pPr>
            <w:r>
              <w:rPr>
                <w:rFonts w:hint="eastAsia"/>
                <w:b/>
                <w:bCs w:val="0"/>
                <w:lang w:val="en-US" w:eastAsia="zh-CN"/>
              </w:rPr>
              <w:t>3608.99</w:t>
            </w:r>
          </w:p>
        </w:tc>
        <w:tc>
          <w:tcPr>
            <w:tcW w:w="2760" w:type="pct"/>
            <w:tcBorders>
              <w:top w:val="single" w:color="000000" w:sz="4" w:space="0"/>
              <w:left w:val="single" w:color="000000" w:sz="4" w:space="0"/>
              <w:bottom w:val="single" w:color="000000" w:sz="4" w:space="0"/>
              <w:right w:val="single" w:color="000000" w:sz="4" w:space="0"/>
            </w:tcBorders>
            <w:noWrap w:val="0"/>
            <w:vAlign w:val="center"/>
          </w:tcPr>
          <w:p>
            <w:pPr>
              <w:pStyle w:val="12"/>
              <w:bidi w:val="0"/>
              <w:jc w:val="left"/>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9"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2.1</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业务服务、附属用房修缮</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default"/>
                <w:lang w:val="en-US"/>
              </w:rPr>
            </w:pPr>
            <w:r>
              <w:rPr>
                <w:rFonts w:hint="eastAsia"/>
                <w:lang w:val="en-US" w:eastAsia="zh-CN"/>
              </w:rPr>
              <w:t>2357.45</w:t>
            </w:r>
          </w:p>
        </w:tc>
        <w:tc>
          <w:tcPr>
            <w:tcW w:w="2760" w:type="pct"/>
            <w:tcBorders>
              <w:top w:val="single" w:color="000000" w:sz="4" w:space="0"/>
              <w:left w:val="single" w:color="000000" w:sz="4" w:space="0"/>
              <w:bottom w:val="single" w:color="000000" w:sz="4" w:space="0"/>
              <w:right w:val="single" w:color="000000" w:sz="4" w:space="0"/>
            </w:tcBorders>
            <w:noWrap w:val="0"/>
            <w:vAlign w:val="center"/>
          </w:tcPr>
          <w:p>
            <w:pPr>
              <w:pStyle w:val="12"/>
              <w:bidi w:val="0"/>
              <w:jc w:val="left"/>
              <w:rPr>
                <w:rFonts w:hint="eastAsia"/>
              </w:rPr>
            </w:pPr>
            <w:r>
              <w:rPr>
                <w:rFonts w:hint="eastAsia"/>
                <w:lang w:val="en-US" w:eastAsia="zh-CN"/>
              </w:rPr>
              <w:t>含管理用房、部分未成年人服务功能用房（教师办公室、物品保管室、社会工作室、食堂、未成年居住用房、儿童活动中心）、工作人员生活用房、部分附属用房（不含卫生间）</w:t>
            </w:r>
            <w:r>
              <w:rPr>
                <w:rFonts w:hint="eastAsia"/>
                <w:lang w:val="en-US" w:eastAsia="zh-CN"/>
              </w:rPr>
              <w:br w:type="textWrapping"/>
            </w:r>
            <w:r>
              <w:rPr>
                <w:rFonts w:hint="eastAsia"/>
                <w:lang w:val="en-US" w:eastAsia="zh-CN"/>
              </w:rPr>
              <w:t>1、地面：瓷砖或木地板；墙面：抹灰+腻子+乳胶漆；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2.2</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梯间</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824.65</w:t>
            </w:r>
          </w:p>
        </w:tc>
        <w:tc>
          <w:tcPr>
            <w:tcW w:w="2760" w:type="pct"/>
            <w:tcBorders>
              <w:top w:val="single" w:color="000000" w:sz="4" w:space="0"/>
              <w:left w:val="single" w:color="000000" w:sz="4" w:space="0"/>
              <w:bottom w:val="single" w:color="000000" w:sz="4" w:space="0"/>
              <w:right w:val="single" w:color="000000" w:sz="4" w:space="0"/>
            </w:tcBorders>
            <w:noWrap/>
            <w:vAlign w:val="center"/>
          </w:tcPr>
          <w:p>
            <w:pPr>
              <w:pStyle w:val="12"/>
              <w:bidi w:val="0"/>
              <w:jc w:val="left"/>
              <w:rPr>
                <w:rFonts w:hint="eastAsia"/>
              </w:rPr>
            </w:pPr>
            <w:r>
              <w:rPr>
                <w:rFonts w:hint="eastAsia"/>
                <w:lang w:val="en-US" w:eastAsia="zh-CN"/>
              </w:rPr>
              <w:t>天花：腻子+无机涂料、地面：成品踏步瓷砖、墙面：抹灰+瓷砖墙裙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2.3</w:t>
            </w:r>
          </w:p>
        </w:tc>
        <w:tc>
          <w:tcPr>
            <w:tcW w:w="980"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default"/>
                <w:lang w:val="en-US"/>
              </w:rPr>
            </w:pPr>
            <w:r>
              <w:rPr>
                <w:rFonts w:hint="eastAsia"/>
                <w:lang w:val="en-US" w:eastAsia="zh-CN"/>
              </w:rPr>
              <w:t>走廊</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2"/>
              <w:bidi w:val="0"/>
              <w:rPr>
                <w:rFonts w:hint="eastAsia"/>
              </w:rPr>
            </w:pPr>
            <w:r>
              <w:rPr>
                <w:rFonts w:hint="eastAsia"/>
                <w:lang w:val="en-US" w:eastAsia="zh-CN"/>
              </w:rPr>
              <w:t>1086.41</w:t>
            </w:r>
          </w:p>
        </w:tc>
        <w:tc>
          <w:tcPr>
            <w:tcW w:w="2760" w:type="pct"/>
            <w:tcBorders>
              <w:top w:val="single" w:color="000000" w:sz="4" w:space="0"/>
              <w:left w:val="single" w:color="000000" w:sz="4" w:space="0"/>
              <w:bottom w:val="single" w:color="000000" w:sz="4" w:space="0"/>
              <w:right w:val="single" w:color="000000" w:sz="4" w:space="0"/>
            </w:tcBorders>
            <w:noWrap/>
            <w:vAlign w:val="center"/>
          </w:tcPr>
          <w:p>
            <w:pPr>
              <w:pStyle w:val="12"/>
              <w:bidi w:val="0"/>
              <w:jc w:val="left"/>
              <w:rPr>
                <w:rFonts w:hint="default"/>
                <w:lang w:val="en-US"/>
              </w:rPr>
            </w:pPr>
            <w:r>
              <w:rPr>
                <w:rFonts w:hint="eastAsia"/>
                <w:lang w:val="en-US" w:eastAsia="zh-CN"/>
              </w:rPr>
              <w:t>走廊自流平地面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481" w:type="pct"/>
            <w:gridSpan w:val="2"/>
            <w:tcBorders>
              <w:top w:val="single" w:color="auto" w:sz="4" w:space="0"/>
              <w:left w:val="single" w:color="auto" w:sz="4" w:space="0"/>
              <w:bottom w:val="single" w:color="auto" w:sz="4" w:space="0"/>
              <w:right w:val="single" w:color="auto" w:sz="4" w:space="0"/>
            </w:tcBorders>
            <w:noWrap/>
            <w:vAlign w:val="center"/>
          </w:tcPr>
          <w:p>
            <w:pPr>
              <w:pStyle w:val="12"/>
              <w:bidi w:val="0"/>
              <w:rPr>
                <w:rFonts w:hint="eastAsia"/>
                <w:b/>
                <w:bCs w:val="0"/>
                <w:lang w:val="en-US" w:eastAsia="zh-CN"/>
              </w:rPr>
            </w:pPr>
            <w:r>
              <w:rPr>
                <w:rFonts w:hint="eastAsia"/>
                <w:b/>
                <w:bCs w:val="0"/>
                <w:lang w:val="en-US" w:eastAsia="zh-CN"/>
              </w:rPr>
              <w:t>合计</w:t>
            </w:r>
          </w:p>
        </w:tc>
        <w:tc>
          <w:tcPr>
            <w:tcW w:w="758" w:type="pct"/>
            <w:tcBorders>
              <w:top w:val="single" w:color="auto" w:sz="4" w:space="0"/>
              <w:left w:val="single" w:color="auto" w:sz="4" w:space="0"/>
              <w:bottom w:val="single" w:color="auto" w:sz="4" w:space="0"/>
              <w:right w:val="single" w:color="auto" w:sz="4" w:space="0"/>
            </w:tcBorders>
            <w:noWrap/>
            <w:vAlign w:val="center"/>
          </w:tcPr>
          <w:p>
            <w:pPr>
              <w:pStyle w:val="12"/>
              <w:bidi w:val="0"/>
              <w:rPr>
                <w:rFonts w:hint="default"/>
                <w:b/>
                <w:bCs w:val="0"/>
                <w:lang w:eastAsia="zh-CN"/>
              </w:rPr>
            </w:pPr>
            <w:r>
              <w:rPr>
                <w:rFonts w:hint="default"/>
                <w:b/>
                <w:bCs w:val="0"/>
                <w:lang w:eastAsia="zh-CN"/>
              </w:rPr>
              <w:t>6813.16</w:t>
            </w:r>
          </w:p>
        </w:tc>
        <w:tc>
          <w:tcPr>
            <w:tcW w:w="2760" w:type="pct"/>
            <w:tcBorders>
              <w:top w:val="single" w:color="auto" w:sz="4" w:space="0"/>
              <w:left w:val="single" w:color="auto" w:sz="4" w:space="0"/>
              <w:bottom w:val="single" w:color="auto" w:sz="4" w:space="0"/>
              <w:right w:val="single" w:color="auto" w:sz="4" w:space="0"/>
            </w:tcBorders>
            <w:noWrap/>
            <w:vAlign w:val="center"/>
          </w:tcPr>
          <w:p>
            <w:pPr>
              <w:pStyle w:val="12"/>
              <w:bidi w:val="0"/>
              <w:rPr>
                <w:rFonts w:hint="eastAsia"/>
                <w:b/>
                <w:bCs w:val="0"/>
              </w:rPr>
            </w:pPr>
          </w:p>
        </w:tc>
      </w:tr>
    </w:tbl>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 w:eastAsia="仿宋_GB2312" w:cs="Times New Roman"/>
          <w:b w:val="0"/>
          <w:bCs w:val="0"/>
          <w:kern w:val="0"/>
          <w:sz w:val="32"/>
          <w:szCs w:val="32"/>
          <w:lang w:eastAsia="zh-CN"/>
        </w:rPr>
      </w:pPr>
    </w:p>
    <w:sectPr>
      <w:footerReference r:id="rId3" w:type="default"/>
      <w:pgSz w:w="11906" w:h="16838"/>
      <w:pgMar w:top="2098" w:right="1587" w:bottom="1531" w:left="1587" w:header="851" w:footer="992" w:gutter="0"/>
      <w:pgBorders w:offsetFrom="page">
        <w:top w:val="none" w:sz="0" w:space="0"/>
        <w:left w:val="none" w:sz="0" w:space="0"/>
        <w:bottom w:val="none" w:sz="0" w:space="0"/>
        <w:right w:val="none" w:sz="0" w:space="0"/>
      </w:pgBorders>
      <w:pgNumType w:fmt="decimal"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DejaVu Sans"/>
    <w:panose1 w:val="00000000000000000000"/>
    <w:charset w:val="00"/>
    <w:family w:val="auto"/>
    <w:pitch w:val="default"/>
    <w:sig w:usb0="00000000" w:usb1="00000000" w:usb2="00000000" w:usb3="00000000" w:csb0="0000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ajorEastAsia" w:hAnsiTheme="majorEastAsia" w:eastAsiaTheme="majorEastAsia" w:cstheme="majorEastAsia"/>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7"/>
                    </w:pPr>
                    <w: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ajorEastAsia" w:hAnsiTheme="majorEastAsia" w:eastAsiaTheme="majorEastAsia" w:cstheme="majorEastAsia"/>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75D648"/>
    <w:multiLevelType w:val="multilevel"/>
    <w:tmpl w:val="4E75D648"/>
    <w:lvl w:ilvl="0" w:tentative="0">
      <w:start w:val="1"/>
      <w:numFmt w:val="decimal"/>
      <w:suff w:val="nothing"/>
      <w:lvlText w:val="第%1章  "/>
      <w:lvlJc w:val="left"/>
      <w:pPr>
        <w:tabs>
          <w:tab w:val="left" w:pos="0"/>
        </w:tabs>
        <w:ind w:left="0" w:firstLine="0"/>
      </w:pPr>
      <w:rPr>
        <w:rFonts w:hint="default"/>
      </w:rPr>
    </w:lvl>
    <w:lvl w:ilvl="1" w:tentative="0">
      <w:start w:val="1"/>
      <w:numFmt w:val="decimal"/>
      <w:pStyle w:val="4"/>
      <w:isLgl/>
      <w:suff w:val="space"/>
      <w:lvlText w:val="%1.%2"/>
      <w:lvlJc w:val="left"/>
      <w:pPr>
        <w:tabs>
          <w:tab w:val="left" w:pos="420"/>
        </w:tabs>
        <w:ind w:left="0" w:firstLine="0"/>
      </w:pPr>
      <w:rPr>
        <w:rFonts w:hint="eastAsia"/>
      </w:rPr>
    </w:lvl>
    <w:lvl w:ilvl="2" w:tentative="0">
      <w:start w:val="1"/>
      <w:numFmt w:val="decimal"/>
      <w:pStyle w:val="5"/>
      <w:isLgl/>
      <w:suff w:val="space"/>
      <w:lvlText w:val="%1.%2.%3"/>
      <w:lvlJc w:val="left"/>
      <w:pPr>
        <w:tabs>
          <w:tab w:val="left" w:pos="420"/>
        </w:tabs>
        <w:ind w:left="0" w:firstLine="0"/>
      </w:pPr>
      <w:rPr>
        <w:rFonts w:hint="eastAsia"/>
        <w:b/>
        <w:bCs/>
        <w:sz w:val="30"/>
        <w:szCs w:val="30"/>
      </w:rPr>
    </w:lvl>
    <w:lvl w:ilvl="3" w:tentative="0">
      <w:start w:val="1"/>
      <w:numFmt w:val="decimal"/>
      <w:pStyle w:val="6"/>
      <w:suff w:val="space"/>
      <w:lvlText w:val="%1.%2.%3.%4"/>
      <w:lvlJc w:val="left"/>
      <w:pPr>
        <w:ind w:left="630" w:hanging="630"/>
      </w:pPr>
      <w:rPr>
        <w:rFonts w:hint="default" w:ascii="Times New Roman" w:hAnsi="Times New Roman" w:eastAsia="宋体" w:cs="Times New Roman"/>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BFEBC0"/>
    <w:rsid w:val="478E846E"/>
    <w:rsid w:val="6B7E9A36"/>
    <w:rsid w:val="6FDFB262"/>
    <w:rsid w:val="7BDD680E"/>
    <w:rsid w:val="7EFA5757"/>
    <w:rsid w:val="7FEF31DA"/>
    <w:rsid w:val="7FFBEA2D"/>
    <w:rsid w:val="D56670CF"/>
    <w:rsid w:val="DFFF95D8"/>
    <w:rsid w:val="F1BFEBC0"/>
    <w:rsid w:val="F3FFDE66"/>
    <w:rsid w:val="FCBFFD2C"/>
    <w:rsid w:val="FE66D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adjustRightInd w:val="0"/>
      <w:snapToGrid w:val="0"/>
      <w:spacing w:before="240" w:after="120" w:line="520" w:lineRule="exact"/>
      <w:outlineLvl w:val="1"/>
    </w:pPr>
    <w:rPr>
      <w:rFonts w:ascii="Times New Roman" w:hAnsi="Times New Roman" w:eastAsia="宋体"/>
      <w:b/>
      <w:bCs/>
      <w:color w:val="000000"/>
      <w:sz w:val="30"/>
      <w:szCs w:val="30"/>
    </w:rPr>
  </w:style>
  <w:style w:type="paragraph" w:styleId="5">
    <w:name w:val="heading 3"/>
    <w:basedOn w:val="1"/>
    <w:next w:val="1"/>
    <w:qFormat/>
    <w:uiPriority w:val="0"/>
    <w:pPr>
      <w:keepNext/>
      <w:keepLines/>
      <w:numPr>
        <w:ilvl w:val="2"/>
        <w:numId w:val="1"/>
      </w:numPr>
      <w:adjustRightInd w:val="0"/>
      <w:snapToGrid w:val="0"/>
      <w:spacing w:before="100" w:beforeLines="100" w:line="360" w:lineRule="auto"/>
      <w:ind w:left="0"/>
      <w:jc w:val="left"/>
      <w:outlineLvl w:val="2"/>
    </w:pPr>
    <w:rPr>
      <w:rFonts w:ascii="Times New Roman" w:hAnsi="Times New Roman" w:eastAsia="宋体"/>
      <w:b/>
      <w:bCs/>
      <w:kern w:val="0"/>
      <w:sz w:val="28"/>
      <w:szCs w:val="28"/>
    </w:rPr>
  </w:style>
  <w:style w:type="paragraph" w:styleId="6">
    <w:name w:val="heading 4"/>
    <w:basedOn w:val="1"/>
    <w:next w:val="1"/>
    <w:qFormat/>
    <w:uiPriority w:val="0"/>
    <w:pPr>
      <w:numPr>
        <w:ilvl w:val="3"/>
        <w:numId w:val="1"/>
      </w:numPr>
      <w:tabs>
        <w:tab w:val="left" w:pos="1140"/>
      </w:tabs>
      <w:adjustRightInd w:val="0"/>
      <w:snapToGrid w:val="0"/>
      <w:spacing w:before="50" w:beforeLines="50" w:line="360" w:lineRule="auto"/>
      <w:ind w:left="630" w:leftChars="0" w:hanging="630" w:firstLineChars="0"/>
      <w:jc w:val="left"/>
      <w:outlineLvl w:val="3"/>
    </w:pPr>
    <w:rPr>
      <w:rFonts w:ascii="Times New Roman" w:hAnsi="Times New Roman" w:eastAsia="宋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autoSpaceDN/>
      <w:adjustRightInd/>
      <w:spacing w:before="120" w:line="300" w:lineRule="auto"/>
      <w:ind w:firstLine="420"/>
      <w:jc w:val="both"/>
    </w:pPr>
    <w:rPr>
      <w:sz w:val="21"/>
    </w:rPr>
  </w:style>
  <w:style w:type="paragraph" w:styleId="3">
    <w:name w:val="Body Text"/>
    <w:basedOn w:val="1"/>
    <w:qFormat/>
    <w:uiPriority w:val="0"/>
    <w:pPr>
      <w:widowControl/>
      <w:jc w:val="left"/>
    </w:pPr>
    <w:rPr>
      <w:rFonts w:ascii="Tahoma"/>
      <w:color w:val="000000"/>
      <w:szCs w:val="2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99"/>
    <w:pPr>
      <w:spacing w:line="360" w:lineRule="auto"/>
    </w:pPr>
    <w:rPr>
      <w:sz w:val="24"/>
    </w:rPr>
  </w:style>
  <w:style w:type="paragraph" w:customStyle="1" w:styleId="12">
    <w:name w:val="表格内容111"/>
    <w:basedOn w:val="1"/>
    <w:qFormat/>
    <w:uiPriority w:val="0"/>
    <w:pPr>
      <w:adjustRightInd w:val="0"/>
      <w:snapToGrid w:val="0"/>
      <w:spacing w:line="240" w:lineRule="auto"/>
      <w:jc w:val="center"/>
    </w:pPr>
    <w:rPr>
      <w:rFonts w:hint="eastAsia" w:ascii="Times New Roman" w:hAnsi="Times New Roman" w:eastAsia="宋体"/>
      <w:bCs/>
      <w:sz w:val="24"/>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2024-08-19T19:41:00Z</dcterms:created>
  <dc:creator>赖嘉敏</dc:creator>
  <cp:lastModifiedBy>郑锦婷</cp:lastModifiedBy>
  <dcterms:modified xsi:type="dcterms:W3CDTF">2024-10-15T11:33:40Z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709540084203794594E20D67D0F037A8</vt:lpwstr>
  </property>
</Properties>
</file>