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79" w:lineRule="exact"/>
        <w:ind w:firstLine="0" w:firstLineChars="0"/>
        <w:rPr>
          <w:rFonts w:hint="eastAsia" w:ascii="方正黑体_GBK" w:hAnsi="方正黑体_GBK" w:eastAsia="方正黑体_GBK" w:cs="方正黑体_GBK"/>
          <w:color w:val="auto"/>
          <w:lang w:eastAsia="zh-CN"/>
        </w:rPr>
      </w:pPr>
      <w:r>
        <w:rPr>
          <w:rFonts w:hint="eastAsia" w:ascii="方正黑体_GBK" w:hAnsi="方正黑体_GBK" w:eastAsia="方正黑体_GBK" w:cs="方正黑体_GBK"/>
          <w:color w:val="auto"/>
        </w:rPr>
        <w:t>附件</w:t>
      </w:r>
      <w:r>
        <w:rPr>
          <w:rFonts w:hint="eastAsia" w:ascii="方正黑体_GBK" w:hAnsi="方正黑体_GBK" w:eastAsia="方正黑体_GBK" w:cs="方正黑体_GBK"/>
          <w:color w:val="auto"/>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79"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（一）过氧化值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过氧化值主要反映食品中油脂是否氧化变质。</w:t>
      </w:r>
      <w:r>
        <w:rPr>
          <w:rFonts w:hint="eastAsia" w:ascii="仿宋_GB2312" w:hAnsi="仿宋" w:eastAsia="仿宋_GB2312" w:cs="仿宋"/>
          <w:sz w:val="32"/>
          <w:szCs w:val="32"/>
          <w:lang w:val="zh-CN" w:eastAsia="zh-CN"/>
        </w:rPr>
        <w:t>如果食品氧化变质，消费者在食用过程中能辨别出哈喇等异味，需避免食用。</w:t>
      </w:r>
      <w:r>
        <w:rPr>
          <w:rFonts w:hint="eastAsia" w:ascii="仿宋_GB2312" w:hAnsi="仿宋" w:cs="仿宋"/>
          <w:sz w:val="32"/>
          <w:szCs w:val="32"/>
          <w:lang w:val="zh-CN" w:eastAsia="zh-CN"/>
        </w:rPr>
        <w:t>《</w:t>
      </w:r>
      <w:r>
        <w:rPr>
          <w:rFonts w:hint="eastAsia" w:ascii="仿宋_GB2312" w:hAnsi="仿宋" w:eastAsia="仿宋_GB2312" w:cs="仿宋"/>
          <w:sz w:val="32"/>
          <w:szCs w:val="32"/>
          <w:lang w:val="zh-CN" w:eastAsia="zh-CN"/>
        </w:rPr>
        <w:t>食品安全国家标准 坚果与籽类食品》（GB 19300-2014）中规定，熟制葵花籽过氧化值（</w:t>
      </w:r>
      <w:r>
        <w:rPr>
          <w:rFonts w:hint="eastAsia" w:ascii="仿宋_GB2312" w:hAnsi="仿宋" w:eastAsia="仿宋_GB2312" w:cs="仿宋"/>
          <w:sz w:val="32"/>
          <w:szCs w:val="32"/>
          <w:lang w:val="en-US" w:eastAsia="zh-CN"/>
        </w:rPr>
        <w:t>以脂肪计</w:t>
      </w:r>
      <w:r>
        <w:rPr>
          <w:rFonts w:hint="eastAsia" w:ascii="仿宋_GB2312" w:hAnsi="仿宋" w:eastAsia="仿宋_GB2312" w:cs="仿宋"/>
          <w:sz w:val="32"/>
          <w:szCs w:val="32"/>
          <w:lang w:val="zh-CN" w:eastAsia="zh-CN"/>
        </w:rPr>
        <w:t>）</w:t>
      </w:r>
      <w:r>
        <w:rPr>
          <w:rFonts w:hint="eastAsia" w:ascii="仿宋_GB2312" w:hAnsi="仿宋" w:cs="仿宋"/>
          <w:sz w:val="32"/>
          <w:szCs w:val="32"/>
          <w:lang w:val="en-US" w:eastAsia="zh-CN"/>
        </w:rPr>
        <w:t>应</w:t>
      </w:r>
      <w:r>
        <w:rPr>
          <w:rFonts w:hint="eastAsia" w:ascii="仿宋_GB2312" w:hAnsi="仿宋" w:eastAsia="仿宋_GB2312" w:cs="仿宋"/>
          <w:sz w:val="32"/>
          <w:szCs w:val="32"/>
          <w:lang w:val="zh-CN" w:eastAsia="zh-CN"/>
        </w:rPr>
        <w:t>≤0.80</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g/100g。《食品安全国家标准 糕点、面包》（GB 7099-2015）中规定，糕点过氧化值(以脂肪计)应≤0.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lang w:val="zh-CN" w:eastAsia="zh-CN"/>
        </w:rPr>
        <w:t>g/100g。过氧化值超标的原因可能是产品用油已经变质</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或者产品在储存过程中环境条件控制不当</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也可能是原料中的脂肪储存不当已经氧化</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或未采取有效的抗氧化措施</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zh-CN" w:eastAsia="zh-CN"/>
        </w:rPr>
        <w:t>使得终产品油脂氧化。</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（二）铝的残留量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含铝食品添加剂，比如硫酸铝钾（又名钾明矾）、硫酸铝铵（又名铵明矾）等，在食品中作为膨松剂、稳定剂使用，使用后会产生铝残留。《食品安全国家标准 食品添加剂使用标准》（GB 2760-2014）中规定，油炸面制品</w:t>
      </w:r>
      <w:r>
        <w:rPr>
          <w:rFonts w:hint="eastAsia" w:ascii="仿宋_GB2312" w:hAnsi="仿宋" w:eastAsia="仿宋_GB2312" w:cs="仿宋"/>
          <w:sz w:val="32"/>
          <w:szCs w:val="32"/>
          <w:lang w:val="en-US" w:eastAsia="zh-CN"/>
        </w:rPr>
        <w:t>中铝的残留量</w:t>
      </w:r>
      <w:r>
        <w:rPr>
          <w:rFonts w:hint="eastAsia" w:ascii="仿宋_GB2312" w:hAnsi="仿宋" w:eastAsia="仿宋_GB2312" w:cs="仿宋"/>
          <w:sz w:val="32"/>
          <w:szCs w:val="32"/>
          <w:lang w:val="zh-CN" w:eastAsia="zh-CN"/>
        </w:rPr>
        <w:t>(干样品，以Al计)</w:t>
      </w:r>
      <w:r>
        <w:rPr>
          <w:rFonts w:hint="eastAsia" w:ascii="仿宋_GB2312" w:hAnsi="仿宋" w:eastAsia="仿宋_GB2312" w:cs="仿宋"/>
          <w:sz w:val="32"/>
          <w:szCs w:val="32"/>
          <w:lang w:val="en-US" w:eastAsia="zh-CN"/>
        </w:rPr>
        <w:t>最大残留量为100 mg/kg</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en-US" w:eastAsia="zh-CN"/>
        </w:rPr>
        <w:t>粉丝、粉条</w:t>
      </w:r>
      <w:r>
        <w:rPr>
          <w:rFonts w:hint="eastAsia" w:ascii="仿宋_GB2312" w:hAnsi="仿宋" w:eastAsia="仿宋_GB2312" w:cs="仿宋"/>
          <w:sz w:val="32"/>
          <w:szCs w:val="32"/>
          <w:lang w:val="zh-CN" w:eastAsia="zh-CN"/>
        </w:rPr>
        <w:t>中铝的残留量(干样品，以Al计)</w:t>
      </w:r>
      <w:r>
        <w:rPr>
          <w:rFonts w:hint="eastAsia" w:ascii="仿宋_GB2312" w:hAnsi="仿宋" w:eastAsia="仿宋_GB2312" w:cs="仿宋"/>
          <w:sz w:val="32"/>
          <w:szCs w:val="32"/>
          <w:lang w:val="en-US" w:eastAsia="zh-CN"/>
        </w:rPr>
        <w:t>最大残留量为2</w:t>
      </w:r>
      <w:r>
        <w:rPr>
          <w:rFonts w:hint="eastAsia" w:ascii="仿宋_GB2312" w:hAnsi="仿宋" w:eastAsia="仿宋_GB2312" w:cs="仿宋"/>
          <w:sz w:val="32"/>
          <w:szCs w:val="32"/>
          <w:lang w:val="zh-CN" w:eastAsia="zh-CN"/>
        </w:rPr>
        <w:t>00</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mg/kg。</w:t>
      </w:r>
      <w:r>
        <w:rPr>
          <w:rFonts w:hint="eastAsia" w:ascii="仿宋_GB2312" w:hAnsi="仿宋" w:eastAsia="仿宋_GB2312" w:cs="仿宋"/>
          <w:sz w:val="32"/>
          <w:szCs w:val="32"/>
          <w:lang w:val="en-US" w:eastAsia="zh-CN"/>
        </w:rPr>
        <w:t>食品</w:t>
      </w:r>
      <w:r>
        <w:rPr>
          <w:rFonts w:hint="eastAsia" w:ascii="仿宋_GB2312" w:hAnsi="仿宋" w:eastAsia="仿宋_GB2312" w:cs="仿宋"/>
          <w:sz w:val="32"/>
          <w:szCs w:val="32"/>
          <w:lang w:val="zh-CN" w:eastAsia="zh-CN"/>
        </w:rPr>
        <w:t>中铝的残留量（干样品，以Al计）超标的原因，可能是个别商家为</w:t>
      </w:r>
      <w:r>
        <w:rPr>
          <w:rFonts w:hint="eastAsia" w:ascii="仿宋_GB2312" w:hAnsi="仿宋" w:eastAsia="仿宋_GB2312" w:cs="仿宋"/>
          <w:sz w:val="32"/>
          <w:szCs w:val="32"/>
          <w:lang w:val="en-US" w:eastAsia="zh-CN"/>
        </w:rPr>
        <w:t>改善</w:t>
      </w:r>
      <w:r>
        <w:rPr>
          <w:rFonts w:hint="eastAsia" w:ascii="仿宋_GB2312" w:hAnsi="仿宋" w:eastAsia="仿宋_GB2312" w:cs="仿宋"/>
          <w:sz w:val="32"/>
          <w:szCs w:val="32"/>
          <w:lang w:val="zh-CN" w:eastAsia="zh-CN"/>
        </w:rPr>
        <w:t>产品口感，在生产加工过程中超限量使用含铝食品添加剂，或者其使用的复配添加剂中铝含量过高；还可能是厂家使用的粉丝粉条原料（食用淀粉）受环境原因影响，天然含有较高含量的铝本底。</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（三）恩诺沙星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恩诺沙星属第三代喹诺酮类药物，是一类人工合成的广谱抗菌药，用于治疗动物的皮肤感染、呼吸道感染等，是动物专属用药。《食品安全国家标准 食品中兽药最大残留限量》（GB 31650-2019）中规定，恩诺沙星在</w:t>
      </w:r>
      <w:r>
        <w:rPr>
          <w:rFonts w:hint="eastAsia" w:ascii="仿宋_GB2312" w:hAnsi="仿宋" w:eastAsia="仿宋_GB2312" w:cs="仿宋"/>
          <w:sz w:val="32"/>
          <w:szCs w:val="32"/>
          <w:lang w:val="en-US" w:eastAsia="zh-CN"/>
        </w:rPr>
        <w:t>鱼的肌肉</w:t>
      </w:r>
      <w:r>
        <w:rPr>
          <w:rFonts w:hint="eastAsia" w:ascii="仿宋_GB2312" w:hAnsi="仿宋" w:eastAsia="仿宋_GB2312" w:cs="仿宋"/>
          <w:sz w:val="32"/>
          <w:szCs w:val="32"/>
          <w:lang w:val="zh-CN" w:eastAsia="zh-CN"/>
        </w:rPr>
        <w:t>中最大残留限量值为100μg/kg。</w:t>
      </w:r>
      <w:r>
        <w:rPr>
          <w:rFonts w:hint="eastAsia" w:ascii="仿宋_GB2312" w:hAnsi="仿宋" w:eastAsia="仿宋_GB2312" w:cs="仿宋"/>
          <w:sz w:val="32"/>
          <w:szCs w:val="32"/>
          <w:lang w:val="en-US" w:eastAsia="zh-CN"/>
        </w:rPr>
        <w:t>鱼类产品</w:t>
      </w:r>
      <w:r>
        <w:rPr>
          <w:rFonts w:hint="eastAsia" w:ascii="仿宋_GB2312" w:hAnsi="仿宋" w:eastAsia="仿宋_GB2312" w:cs="仿宋"/>
          <w:sz w:val="32"/>
          <w:szCs w:val="32"/>
          <w:lang w:val="zh-CN" w:eastAsia="zh-CN"/>
        </w:rPr>
        <w:t>中恩诺沙星残留量超标的原因，可能是在养殖过程中为快速控制疫病，违规加大用药量或不遵守休药期规定，致使上市销售产品中的药物残留量超标。</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（四）合成着色剂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柠檬黄、亮蓝、苋菜红</w:t>
      </w:r>
      <w:r>
        <w:rPr>
          <w:rFonts w:hint="eastAsia" w:ascii="楷体_GB2312" w:hAnsi="楷体_GB2312" w:eastAsia="楷体_GB2312" w:cs="楷体_GB2312"/>
          <w:b/>
          <w:bCs w:val="0"/>
          <w:color w:val="auto"/>
          <w:sz w:val="32"/>
          <w:szCs w:val="24"/>
          <w:highlight w:val="none"/>
          <w:lang w:val="zh-CN"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仿宋"/>
          <w:sz w:val="32"/>
          <w:szCs w:val="32"/>
          <w:lang w:val="en-US" w:eastAsia="zh-CN"/>
        </w:rPr>
        <w:t>日落黄、柠檬黄、亮蓝、苋菜红是常见的人工合成着色剂，在食品生产中应用广泛。《食品安全国家标准 食品添加剂使用标准》（GB 2760-2014）中规定，粉丝粉条中不得使用日落黄</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柠檬黄</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亮蓝</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苋菜红</w:t>
      </w:r>
      <w:r>
        <w:rPr>
          <w:rFonts w:hint="eastAsia" w:ascii="仿宋_GB2312" w:hAnsi="仿宋" w:cs="仿宋"/>
          <w:sz w:val="32"/>
          <w:szCs w:val="32"/>
          <w:lang w:val="en-US" w:eastAsia="zh-CN"/>
        </w:rPr>
        <w:t>。</w:t>
      </w:r>
      <w:r>
        <w:rPr>
          <w:rFonts w:hint="eastAsia" w:ascii="仿宋_GB2312" w:hAnsi="仿宋" w:eastAsia="仿宋_GB2312" w:cs="仿宋"/>
          <w:sz w:val="32"/>
          <w:szCs w:val="32"/>
          <w:lang w:val="en-US" w:eastAsia="zh-CN"/>
        </w:rPr>
        <w:t>食品中合成着色剂超标原因可能是</w:t>
      </w:r>
      <w:r>
        <w:rPr>
          <w:rFonts w:hint="eastAsia" w:ascii="仿宋_GB2312" w:hAnsi="仿宋" w:eastAsia="仿宋_GB2312" w:cs="仿宋"/>
          <w:sz w:val="32"/>
          <w:szCs w:val="32"/>
          <w:lang w:val="zh-CN" w:eastAsia="zh-CN"/>
        </w:rPr>
        <w:t>生产企业为改善产品色泽、提高市场价值而超范围使用，也可能是</w:t>
      </w:r>
      <w:r>
        <w:rPr>
          <w:rFonts w:hint="eastAsia" w:ascii="仿宋_GB2312" w:hAnsi="仿宋_GB2312" w:eastAsia="仿宋_GB2312" w:cs="仿宋_GB2312"/>
          <w:color w:val="000000" w:themeColor="text1"/>
          <w:sz w:val="32"/>
          <w:szCs w:val="32"/>
          <w14:textFill>
            <w14:solidFill>
              <w14:schemeClr w14:val="tx1"/>
            </w14:solidFill>
          </w14:textFill>
        </w:rPr>
        <w:t>生产企业未按规定使用食品添加剂。</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（五）酒精度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酒精度又叫酒度，是指在20℃时，100毫升酒中含有乙醇（酒精）的毫升数，即体积（容量）的百分数。酒精度是酒类产品的一个重要理化指标，含量不达标主要影响产品的品质。企业标准《孝感米酒》〔Q/CXY 0001S-2019(420056S-2020)〕中规定，原汁米酒中酒精度应不小于0.8％vol。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氯氟氰菊酯和高效氯氟氰菊酯是是一种广谱、高效拟除虫菊酯类杀虫剂，以触杀和胃毒作用为主，无内吸作用，被广泛用于农林业和卫生害虫的防治。但由于其不易降解，对生态环境有一定影响。《食品安全国家标准 食品中农药最大残留限量》（GB 2763-2021）中规定，枸杞（干）中氯氟氰菊酯和高效氯氟氰菊酯最大残留限量值为0.1mg/kg。  </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（七）菌落总数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菌落总数是指示性微生物指标，并非致病菌指标，主要用来评价食品清洁度，反映食品在生产过程中是否符合卫生要求，一定程度上标志着食品卫生质量的优劣。</w:t>
      </w:r>
      <w:r>
        <w:rPr>
          <w:rFonts w:hint="default" w:ascii="仿宋_GB2312" w:hAnsi="仿宋" w:eastAsia="仿宋_GB2312" w:cs="仿宋"/>
          <w:sz w:val="32"/>
          <w:szCs w:val="32"/>
          <w:lang w:val="zh-CN" w:eastAsia="zh-CN"/>
        </w:rPr>
        <w:t>《食品安全国家标准 饮料》</w:t>
      </w:r>
      <w:r>
        <w:rPr>
          <w:rFonts w:hint="eastAsia" w:ascii="仿宋_GB2312" w:hAnsi="仿宋" w:eastAsia="仿宋_GB2312" w:cs="仿宋"/>
          <w:sz w:val="32"/>
          <w:szCs w:val="32"/>
          <w:lang w:val="zh-CN" w:eastAsia="zh-CN"/>
        </w:rPr>
        <w:t>（</w:t>
      </w:r>
      <w:r>
        <w:rPr>
          <w:rFonts w:hint="default" w:ascii="仿宋_GB2312" w:hAnsi="仿宋" w:eastAsia="仿宋_GB2312" w:cs="仿宋"/>
          <w:sz w:val="32"/>
          <w:szCs w:val="32"/>
          <w:lang w:val="zh-CN" w:eastAsia="zh-CN"/>
        </w:rPr>
        <w:t>GB 7101</w:t>
      </w:r>
      <w:r>
        <w:rPr>
          <w:rFonts w:hint="eastAsia" w:ascii="仿宋_GB2312" w:hAnsi="仿宋" w:eastAsia="仿宋_GB2312" w:cs="仿宋"/>
          <w:sz w:val="32"/>
          <w:szCs w:val="32"/>
          <w:lang w:val="zh-CN" w:eastAsia="zh-CN"/>
        </w:rPr>
        <w:t>-</w:t>
      </w:r>
      <w:r>
        <w:rPr>
          <w:rFonts w:hint="default" w:ascii="仿宋_GB2312" w:hAnsi="仿宋" w:eastAsia="仿宋_GB2312" w:cs="仿宋"/>
          <w:sz w:val="32"/>
          <w:szCs w:val="32"/>
          <w:lang w:val="zh-CN" w:eastAsia="zh-CN"/>
        </w:rPr>
        <w:t>20</w:t>
      </w:r>
      <w:r>
        <w:rPr>
          <w:rFonts w:hint="eastAsia" w:ascii="仿宋_GB2312" w:hAnsi="仿宋" w:cs="仿宋"/>
          <w:sz w:val="32"/>
          <w:szCs w:val="32"/>
          <w:lang w:val="en-US" w:eastAsia="zh-CN"/>
        </w:rPr>
        <w:t>22</w:t>
      </w:r>
      <w:r>
        <w:rPr>
          <w:rFonts w:hint="default" w:ascii="仿宋_GB2312" w:hAnsi="仿宋" w:eastAsia="仿宋_GB2312" w:cs="仿宋"/>
          <w:sz w:val="32"/>
          <w:szCs w:val="32"/>
          <w:lang w:val="zh-CN" w:eastAsia="zh-CN"/>
        </w:rPr>
        <w:t>）中规定，液体饮料</w:t>
      </w:r>
      <w:r>
        <w:rPr>
          <w:rFonts w:hint="eastAsia" w:ascii="仿宋_GB2312" w:hAnsi="仿宋" w:eastAsia="仿宋_GB2312" w:cs="仿宋"/>
          <w:sz w:val="32"/>
          <w:szCs w:val="32"/>
          <w:lang w:val="zh-CN" w:eastAsia="zh-CN"/>
        </w:rPr>
        <w:t>同一批次产品5个样品的菌落总数检测结果均不得超过</w:t>
      </w:r>
      <w:r>
        <w:rPr>
          <w:rFonts w:hint="default" w:ascii="仿宋_GB2312" w:hAnsi="仿宋" w:eastAsia="仿宋_GB2312" w:cs="仿宋"/>
          <w:sz w:val="32"/>
          <w:szCs w:val="32"/>
          <w:lang w:val="zh-CN" w:eastAsia="zh-CN"/>
        </w:rPr>
        <w:t>10</w:t>
      </w:r>
      <w:r>
        <w:rPr>
          <w:rFonts w:hint="default" w:ascii="仿宋_GB2312" w:hAnsi="仿宋" w:eastAsia="仿宋_GB2312" w:cs="仿宋"/>
          <w:sz w:val="32"/>
          <w:szCs w:val="32"/>
          <w:vertAlign w:val="superscript"/>
          <w:lang w:val="zh-CN" w:eastAsia="zh-CN"/>
        </w:rPr>
        <w:t>4</w:t>
      </w:r>
      <w:r>
        <w:rPr>
          <w:rFonts w:hint="default" w:ascii="仿宋_GB2312" w:hAnsi="仿宋" w:eastAsia="仿宋_GB2312" w:cs="仿宋"/>
          <w:sz w:val="32"/>
          <w:szCs w:val="32"/>
          <w:lang w:val="zh-CN" w:eastAsia="zh-CN"/>
        </w:rPr>
        <w:t>CFU/mL，且</w:t>
      </w:r>
      <w:r>
        <w:rPr>
          <w:rFonts w:hint="eastAsia" w:ascii="仿宋_GB2312" w:hAnsi="仿宋" w:eastAsia="仿宋_GB2312" w:cs="仿宋"/>
          <w:sz w:val="32"/>
          <w:szCs w:val="32"/>
          <w:lang w:val="zh-CN" w:eastAsia="zh-CN"/>
        </w:rPr>
        <w:t>最多允许2个样品</w:t>
      </w:r>
      <w:r>
        <w:rPr>
          <w:rFonts w:hint="default" w:ascii="仿宋_GB2312" w:hAnsi="仿宋" w:eastAsia="仿宋_GB2312" w:cs="仿宋"/>
          <w:sz w:val="32"/>
          <w:szCs w:val="32"/>
          <w:lang w:val="zh-CN" w:eastAsia="zh-CN"/>
        </w:rPr>
        <w:t>结果超过10</w:t>
      </w:r>
      <w:r>
        <w:rPr>
          <w:rFonts w:hint="default" w:ascii="仿宋_GB2312" w:hAnsi="仿宋" w:eastAsia="仿宋_GB2312" w:cs="仿宋"/>
          <w:sz w:val="32"/>
          <w:szCs w:val="32"/>
          <w:vertAlign w:val="superscript"/>
          <w:lang w:val="zh-CN" w:eastAsia="zh-CN"/>
        </w:rPr>
        <w:t>2</w:t>
      </w:r>
      <w:r>
        <w:rPr>
          <w:rFonts w:hint="default" w:ascii="仿宋_GB2312" w:hAnsi="仿宋" w:eastAsia="仿宋_GB2312" w:cs="仿宋"/>
          <w:sz w:val="32"/>
          <w:szCs w:val="32"/>
          <w:lang w:val="zh-CN" w:eastAsia="zh-CN"/>
        </w:rPr>
        <w:t>CFU/mL</w:t>
      </w:r>
      <w:r>
        <w:rPr>
          <w:rFonts w:hint="eastAsia" w:ascii="仿宋_GB2312" w:hAnsi="仿宋" w:eastAsia="仿宋_GB2312" w:cs="仿宋"/>
          <w:sz w:val="32"/>
          <w:szCs w:val="32"/>
          <w:lang w:val="zh-CN" w:eastAsia="zh-CN"/>
        </w:rPr>
        <w:t>。《广东省食品安全地方标准 非预包装即食食品微生物限量》（DBS 44/006-2016）中规定，第一类食品菌落总数＜10</w:t>
      </w:r>
      <w:r>
        <w:rPr>
          <w:rFonts w:hint="eastAsia" w:ascii="仿宋_GB2312" w:hAnsi="仿宋" w:eastAsia="仿宋_GB2312" w:cs="仿宋"/>
          <w:sz w:val="32"/>
          <w:szCs w:val="32"/>
          <w:vertAlign w:val="superscript"/>
          <w:lang w:val="zh-CN" w:eastAsia="zh-CN"/>
        </w:rPr>
        <w:t>4</w:t>
      </w:r>
      <w:r>
        <w:rPr>
          <w:rFonts w:hint="eastAsia" w:ascii="仿宋_GB2312" w:hAnsi="仿宋" w:eastAsia="仿宋_GB2312" w:cs="仿宋"/>
          <w:sz w:val="32"/>
          <w:szCs w:val="32"/>
          <w:lang w:val="zh-CN" w:eastAsia="zh-CN"/>
        </w:rPr>
        <w:t>CFU/g为满意，10</w:t>
      </w:r>
      <w:r>
        <w:rPr>
          <w:rFonts w:hint="eastAsia" w:ascii="仿宋_GB2312" w:hAnsi="仿宋" w:eastAsia="仿宋_GB2312" w:cs="仿宋"/>
          <w:sz w:val="32"/>
          <w:szCs w:val="32"/>
          <w:vertAlign w:val="superscript"/>
          <w:lang w:val="zh-CN" w:eastAsia="zh-CN"/>
        </w:rPr>
        <w:t>4</w:t>
      </w:r>
      <w:r>
        <w:rPr>
          <w:rFonts w:hint="eastAsia" w:ascii="仿宋_GB2312" w:hAnsi="仿宋" w:eastAsia="仿宋_GB2312" w:cs="仿宋"/>
          <w:sz w:val="32"/>
          <w:szCs w:val="32"/>
          <w:lang w:val="zh-CN" w:eastAsia="zh-CN"/>
        </w:rPr>
        <w:t>-＜10</w:t>
      </w:r>
      <w:r>
        <w:rPr>
          <w:rFonts w:hint="eastAsia" w:ascii="仿宋_GB2312" w:hAnsi="仿宋" w:eastAsia="仿宋_GB2312" w:cs="仿宋"/>
          <w:sz w:val="32"/>
          <w:szCs w:val="32"/>
          <w:vertAlign w:val="superscript"/>
          <w:lang w:val="zh-CN" w:eastAsia="zh-CN"/>
        </w:rPr>
        <w:t>5</w:t>
      </w:r>
      <w:r>
        <w:rPr>
          <w:rFonts w:hint="eastAsia" w:ascii="仿宋_GB2312" w:hAnsi="仿宋" w:eastAsia="仿宋_GB2312" w:cs="仿宋"/>
          <w:sz w:val="32"/>
          <w:szCs w:val="32"/>
          <w:lang w:val="zh-CN" w:eastAsia="zh-CN"/>
        </w:rPr>
        <w:t>CFU/g为可接受，≥10</w:t>
      </w:r>
      <w:r>
        <w:rPr>
          <w:rFonts w:hint="eastAsia" w:ascii="仿宋_GB2312" w:hAnsi="仿宋" w:eastAsia="仿宋_GB2312" w:cs="仿宋"/>
          <w:sz w:val="32"/>
          <w:szCs w:val="32"/>
          <w:vertAlign w:val="superscript"/>
          <w:lang w:val="zh-CN" w:eastAsia="zh-CN"/>
        </w:rPr>
        <w:t>5</w:t>
      </w:r>
      <w:r>
        <w:rPr>
          <w:rFonts w:hint="eastAsia" w:ascii="仿宋_GB2312" w:hAnsi="仿宋" w:eastAsia="仿宋_GB2312" w:cs="仿宋"/>
          <w:sz w:val="32"/>
          <w:szCs w:val="32"/>
          <w:lang w:val="zh-CN" w:eastAsia="zh-CN"/>
        </w:rPr>
        <w:t>CFU/g为不合格。</w:t>
      </w:r>
      <w:r>
        <w:rPr>
          <w:rFonts w:hint="eastAsia" w:ascii="仿宋_GB2312" w:hAnsi="仿宋" w:eastAsia="仿宋_GB2312" w:cs="仿宋"/>
          <w:sz w:val="32"/>
          <w:szCs w:val="32"/>
          <w:lang w:val="en-US" w:eastAsia="zh-CN"/>
        </w:rPr>
        <w:t>食品的菌落总数超标，说明产品的卫生状况</w:t>
      </w:r>
      <w:r>
        <w:rPr>
          <w:rFonts w:hint="eastAsia" w:ascii="仿宋_GB2312" w:hAnsi="仿宋" w:cs="仿宋"/>
          <w:sz w:val="32"/>
          <w:szCs w:val="32"/>
          <w:lang w:val="en-US" w:eastAsia="zh-CN"/>
        </w:rPr>
        <w:t>未</w:t>
      </w:r>
      <w:r>
        <w:rPr>
          <w:rFonts w:hint="eastAsia" w:ascii="仿宋_GB2312" w:hAnsi="仿宋" w:eastAsia="仿宋_GB2312" w:cs="仿宋"/>
          <w:sz w:val="32"/>
          <w:szCs w:val="32"/>
          <w:lang w:val="en-US" w:eastAsia="zh-CN"/>
        </w:rPr>
        <w:t>达到基本的卫生要求，将会破坏食品的营养成分，加速食品的腐败变质，使食品失去食用价值。</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（八）磺胺类（总量）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磺胺类药物是一类人工合成的抑菌药，其具有抗菌谱广、性质稳定、便于贮存、吸收迅速等优点，用于动物疫病治疗。《食品安全国家标准 食品中兽药最大残留限量》（GB 31650-2019）中规定，磺胺类（总量）在鱼的皮和肉中最大残留限量值为100μg/kg。</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（九）氧氟沙星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氧氟沙星属于氟喹诺酮类药物，因抗菌谱广、抗菌活性强等曾被广泛用于畜禽细菌性疾病的治疗和预防。《食品安全国家标准 食品中41种兽药最大残留限量》（GB 31650</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val="zh-CN" w:eastAsia="zh-CN"/>
        </w:rPr>
        <w:t>-20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lang w:val="zh-CN" w:eastAsia="zh-CN"/>
        </w:rPr>
        <w:t>）中规定，</w:t>
      </w:r>
      <w:r>
        <w:rPr>
          <w:rFonts w:hint="eastAsia" w:ascii="仿宋_GB2312" w:hAnsi="仿宋" w:eastAsia="仿宋_GB2312" w:cs="仿宋"/>
          <w:sz w:val="32"/>
          <w:szCs w:val="32"/>
          <w:lang w:val="en-US" w:eastAsia="zh-CN"/>
        </w:rPr>
        <w:t>鱼皮和肉中氧氟沙星</w:t>
      </w:r>
      <w:r>
        <w:rPr>
          <w:rFonts w:hint="eastAsia" w:ascii="仿宋_GB2312" w:hAnsi="仿宋" w:eastAsia="仿宋_GB2312" w:cs="仿宋"/>
          <w:sz w:val="32"/>
          <w:szCs w:val="32"/>
          <w:lang w:val="zh-CN" w:eastAsia="zh-CN"/>
        </w:rPr>
        <w:t>最</w:t>
      </w:r>
      <w:r>
        <w:rPr>
          <w:rFonts w:hint="eastAsia" w:ascii="仿宋_GB2312" w:hAnsi="仿宋" w:eastAsia="仿宋_GB2312" w:cs="仿宋"/>
          <w:sz w:val="32"/>
          <w:szCs w:val="32"/>
          <w:lang w:val="en-US" w:eastAsia="zh-CN"/>
        </w:rPr>
        <w:t>大</w:t>
      </w:r>
      <w:r>
        <w:rPr>
          <w:rFonts w:hint="eastAsia" w:ascii="仿宋_GB2312" w:hAnsi="仿宋" w:eastAsia="仿宋_GB2312" w:cs="仿宋"/>
          <w:sz w:val="32"/>
          <w:szCs w:val="32"/>
          <w:lang w:val="zh-CN" w:eastAsia="zh-CN"/>
        </w:rPr>
        <w:t>残留限量为</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val="zh-CN" w:eastAsia="zh-CN"/>
        </w:rPr>
        <w:t>μg/kg。</w:t>
      </w:r>
      <w:r>
        <w:rPr>
          <w:rFonts w:hint="eastAsia" w:ascii="仿宋_GB2312" w:hAnsi="仿宋" w:eastAsia="仿宋_GB2312" w:cs="仿宋"/>
          <w:sz w:val="32"/>
          <w:szCs w:val="32"/>
          <w:lang w:val="en-US" w:eastAsia="zh-CN"/>
        </w:rPr>
        <w:t>鱼类产品</w:t>
      </w:r>
      <w:r>
        <w:rPr>
          <w:rFonts w:hint="eastAsia" w:ascii="仿宋_GB2312" w:hAnsi="仿宋" w:eastAsia="仿宋_GB2312" w:cs="仿宋"/>
          <w:sz w:val="32"/>
          <w:szCs w:val="32"/>
          <w:lang w:val="zh-CN" w:eastAsia="zh-CN"/>
        </w:rPr>
        <w:t>中</w:t>
      </w:r>
      <w:r>
        <w:rPr>
          <w:rFonts w:hint="eastAsia" w:ascii="仿宋_GB2312" w:hAnsi="仿宋" w:eastAsia="仿宋_GB2312" w:cs="仿宋"/>
          <w:sz w:val="32"/>
          <w:szCs w:val="32"/>
          <w:lang w:val="en-US" w:eastAsia="zh-CN"/>
        </w:rPr>
        <w:t>氧氟沙星</w:t>
      </w:r>
      <w:r>
        <w:rPr>
          <w:rFonts w:hint="eastAsia" w:ascii="仿宋_GB2312" w:hAnsi="仿宋" w:eastAsia="仿宋_GB2312" w:cs="仿宋"/>
          <w:sz w:val="32"/>
          <w:szCs w:val="32"/>
          <w:lang w:val="zh-CN" w:eastAsia="zh-CN"/>
        </w:rPr>
        <w:t>残留量超标的原因，可能是在养殖过程中为快速控制疫病，违规加大用药量或不遵守休药期规定，致使上市销售产品中的药物残留量超标。</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w:t>
      </w:r>
      <w:r>
        <w:rPr>
          <w:rFonts w:hint="eastAsia" w:ascii="楷体_GB2312" w:hAnsi="楷体_GB2312" w:eastAsia="楷体_GB2312" w:cs="楷体_GB2312"/>
          <w:b/>
          <w:bCs w:val="0"/>
          <w:color w:val="auto"/>
          <w:sz w:val="32"/>
          <w:szCs w:val="24"/>
          <w:highlight w:val="none"/>
          <w:lang w:val="zh-CN" w:eastAsia="zh-CN"/>
        </w:rPr>
        <w:t>）灭蝇胺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灭蝇胺又名环丙氨嗪，为一种新型高效、低毒、含氮杂环类杀虫剂，是目前防治双翅目昆虫病虫害效果较好的生态农药。《食品安全国家标准</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食品中农药最大残留限量》（GB</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2763</w:t>
      </w: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lang w:val="zh-CN" w:eastAsia="zh-CN"/>
        </w:rPr>
        <w:t>）中规定，</w:t>
      </w:r>
      <w:r>
        <w:rPr>
          <w:rFonts w:hint="eastAsia" w:ascii="仿宋_GB2312" w:hAnsi="仿宋" w:eastAsia="仿宋_GB2312" w:cs="仿宋"/>
          <w:sz w:val="32"/>
          <w:szCs w:val="32"/>
          <w:lang w:val="en-US" w:eastAsia="zh-CN"/>
        </w:rPr>
        <w:t>豇豆中灭蝇胺最大</w:t>
      </w:r>
      <w:r>
        <w:rPr>
          <w:rFonts w:hint="eastAsia" w:ascii="仿宋_GB2312" w:hAnsi="仿宋" w:eastAsia="仿宋_GB2312" w:cs="仿宋"/>
          <w:sz w:val="32"/>
          <w:szCs w:val="32"/>
          <w:lang w:val="zh-CN" w:eastAsia="zh-CN"/>
        </w:rPr>
        <w:t>残留限量值</w:t>
      </w:r>
      <w:r>
        <w:rPr>
          <w:rFonts w:hint="eastAsia" w:ascii="仿宋_GB2312" w:hAnsi="仿宋" w:eastAsia="仿宋_GB2312" w:cs="仿宋"/>
          <w:sz w:val="32"/>
          <w:szCs w:val="32"/>
          <w:lang w:val="en-US" w:eastAsia="zh-CN"/>
        </w:rPr>
        <w:t>为0.5mg/kg</w:t>
      </w:r>
      <w:r>
        <w:rPr>
          <w:rFonts w:hint="eastAsia" w:ascii="仿宋_GB2312" w:hAnsi="仿宋" w:eastAsia="仿宋_GB2312" w:cs="仿宋"/>
          <w:sz w:val="32"/>
          <w:szCs w:val="32"/>
          <w:lang w:val="zh-CN" w:eastAsia="zh-CN"/>
        </w:rPr>
        <w:t>。</w:t>
      </w:r>
      <w:r>
        <w:rPr>
          <w:rFonts w:hint="default" w:ascii="仿宋_GB2312" w:hAnsi="仿宋" w:eastAsia="仿宋_GB2312" w:cs="仿宋"/>
          <w:sz w:val="32"/>
          <w:szCs w:val="32"/>
          <w:lang w:val="en-US" w:eastAsia="zh-CN"/>
        </w:rPr>
        <w:t>豇豆中灭蝇胺</w:t>
      </w:r>
      <w:r>
        <w:rPr>
          <w:rFonts w:hint="eastAsia" w:ascii="仿宋_GB2312" w:hAnsi="仿宋" w:eastAsia="仿宋_GB2312" w:cs="仿宋"/>
          <w:sz w:val="32"/>
          <w:szCs w:val="32"/>
          <w:lang w:val="en-US" w:eastAsia="zh-CN"/>
        </w:rPr>
        <w:t>残留量</w:t>
      </w:r>
      <w:r>
        <w:rPr>
          <w:rFonts w:hint="default" w:ascii="仿宋_GB2312" w:hAnsi="仿宋" w:eastAsia="仿宋_GB2312" w:cs="仿宋"/>
          <w:sz w:val="32"/>
          <w:szCs w:val="32"/>
          <w:lang w:val="en-US" w:eastAsia="zh-CN"/>
        </w:rPr>
        <w:t>超标</w:t>
      </w:r>
      <w:r>
        <w:rPr>
          <w:rFonts w:hint="eastAsia" w:ascii="仿宋_GB2312" w:hAnsi="仿宋" w:eastAsia="仿宋_GB2312" w:cs="仿宋"/>
          <w:sz w:val="32"/>
          <w:szCs w:val="32"/>
          <w:lang w:val="en-US" w:eastAsia="zh-CN"/>
        </w:rPr>
        <w:t>的原因</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可能是为保证豇豆收成和良好卖相，</w:t>
      </w:r>
      <w:r>
        <w:rPr>
          <w:rFonts w:hint="default" w:ascii="仿宋_GB2312" w:hAnsi="仿宋" w:eastAsia="仿宋_GB2312" w:cs="仿宋"/>
          <w:sz w:val="32"/>
          <w:szCs w:val="32"/>
          <w:lang w:val="en-US" w:eastAsia="zh-CN"/>
        </w:rPr>
        <w:t>加大用药量</w:t>
      </w:r>
      <w:r>
        <w:rPr>
          <w:rFonts w:hint="eastAsia" w:ascii="仿宋_GB2312" w:hAnsi="仿宋" w:eastAsia="仿宋_GB2312" w:cs="仿宋"/>
          <w:sz w:val="32"/>
          <w:szCs w:val="32"/>
          <w:lang w:val="en-US" w:eastAsia="zh-CN"/>
        </w:rPr>
        <w:t>或</w:t>
      </w:r>
      <w:r>
        <w:rPr>
          <w:rFonts w:hint="default" w:ascii="仿宋_GB2312" w:hAnsi="仿宋" w:eastAsia="仿宋_GB2312" w:cs="仿宋"/>
          <w:sz w:val="32"/>
          <w:szCs w:val="32"/>
          <w:lang w:val="en-US" w:eastAsia="zh-CN"/>
        </w:rPr>
        <w:t>未遵守采摘间隔期</w:t>
      </w:r>
      <w:r>
        <w:rPr>
          <w:rFonts w:hint="eastAsia" w:ascii="仿宋_GB2312" w:hAnsi="仿宋" w:eastAsia="仿宋_GB2312" w:cs="仿宋"/>
          <w:sz w:val="32"/>
          <w:szCs w:val="32"/>
          <w:lang w:val="en-US" w:eastAsia="zh-CN"/>
        </w:rPr>
        <w:t>规定</w:t>
      </w:r>
      <w:r>
        <w:rPr>
          <w:rFonts w:hint="default" w:ascii="仿宋_GB2312" w:hAnsi="仿宋" w:eastAsia="仿宋_GB2312" w:cs="仿宋"/>
          <w:sz w:val="32"/>
          <w:szCs w:val="32"/>
          <w:lang w:val="en-US" w:eastAsia="zh-CN"/>
        </w:rPr>
        <w:t>，致使上市销售</w:t>
      </w:r>
      <w:r>
        <w:rPr>
          <w:rFonts w:hint="eastAsia" w:ascii="仿宋_GB2312" w:hAnsi="仿宋" w:eastAsia="仿宋_GB2312" w:cs="仿宋"/>
          <w:sz w:val="32"/>
          <w:szCs w:val="32"/>
          <w:lang w:val="en-US" w:eastAsia="zh-CN"/>
        </w:rPr>
        <w:t>的产品中残留量超标</w:t>
      </w:r>
      <w:r>
        <w:rPr>
          <w:rFonts w:hint="default" w:ascii="仿宋_GB2312" w:hAnsi="仿宋" w:eastAsia="仿宋_GB2312" w:cs="仿宋"/>
          <w:sz w:val="32"/>
          <w:szCs w:val="32"/>
          <w:lang w:val="en-US" w:eastAsia="zh-CN"/>
        </w:rPr>
        <w:t>。</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（十一）甲硝唑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zh-CN" w:eastAsia="zh-CN"/>
        </w:rPr>
        <w:t>甲硝唑是硝基咪唑类抗菌药，对甲硝唑敏感的菌种有拟杆菌属、梭状芽孢杆菌属、产气荚膜梭菌、消化球菌属等。</w:t>
      </w:r>
      <w:r>
        <w:rPr>
          <w:rFonts w:hint="default" w:ascii="仿宋_GB2312" w:hAnsi="仿宋" w:eastAsia="仿宋_GB2312" w:cs="仿宋"/>
          <w:sz w:val="32"/>
          <w:szCs w:val="32"/>
          <w:lang w:val="zh-CN" w:eastAsia="zh-CN"/>
        </w:rPr>
        <w:t>《食品安全国家标准 食品中兽药最大残留限量》（GB 31650-2019）中规定，</w:t>
      </w:r>
      <w:r>
        <w:rPr>
          <w:rFonts w:hint="eastAsia" w:ascii="仿宋_GB2312" w:hAnsi="仿宋" w:eastAsia="仿宋_GB2312" w:cs="仿宋"/>
          <w:sz w:val="32"/>
          <w:szCs w:val="32"/>
          <w:lang w:val="zh-CN" w:eastAsia="zh-CN"/>
        </w:rPr>
        <w:t>甲硝唑允许作治疗用，但不得在动物性食品中检出。</w:t>
      </w:r>
      <w:r>
        <w:rPr>
          <w:rFonts w:hint="eastAsia" w:ascii="仿宋_GB2312" w:hAnsi="仿宋" w:eastAsia="仿宋_GB2312" w:cs="仿宋"/>
          <w:sz w:val="32"/>
          <w:szCs w:val="32"/>
          <w:lang w:val="en-US" w:eastAsia="zh-CN"/>
        </w:rPr>
        <w:t>鸡蛋</w:t>
      </w:r>
      <w:r>
        <w:rPr>
          <w:rFonts w:hint="eastAsia" w:ascii="仿宋_GB2312" w:hAnsi="仿宋" w:eastAsia="仿宋_GB2312" w:cs="仿宋"/>
          <w:sz w:val="32"/>
          <w:szCs w:val="32"/>
          <w:lang w:val="zh-CN" w:eastAsia="zh-CN"/>
        </w:rPr>
        <w:t>中检出甲硝唑的原因，可能是</w:t>
      </w:r>
      <w:r>
        <w:rPr>
          <w:rFonts w:hint="eastAsia" w:ascii="仿宋_GB2312" w:hAnsi="仿宋" w:eastAsia="仿宋_GB2312" w:cs="仿宋"/>
          <w:sz w:val="32"/>
          <w:szCs w:val="32"/>
          <w:lang w:val="en-US" w:eastAsia="zh-CN"/>
        </w:rPr>
        <w:t>蛋鸡</w:t>
      </w:r>
      <w:r>
        <w:rPr>
          <w:rFonts w:hint="eastAsia" w:ascii="仿宋_GB2312" w:hAnsi="仿宋" w:eastAsia="仿宋_GB2312" w:cs="仿宋"/>
          <w:sz w:val="32"/>
          <w:szCs w:val="32"/>
          <w:lang w:val="zh-CN" w:eastAsia="zh-CN"/>
        </w:rPr>
        <w:t>在养殖过程中为控制疫病用药</w:t>
      </w:r>
      <w:r>
        <w:rPr>
          <w:rFonts w:hint="eastAsia" w:ascii="仿宋_GB2312" w:hAnsi="仿宋" w:eastAsia="仿宋_GB2312" w:cs="仿宋"/>
          <w:sz w:val="32"/>
          <w:szCs w:val="32"/>
          <w:lang w:val="en-US" w:eastAsia="zh-CN"/>
        </w:rPr>
        <w:t>治疗</w:t>
      </w:r>
      <w:r>
        <w:rPr>
          <w:rFonts w:hint="eastAsia" w:ascii="仿宋_GB2312" w:hAnsi="仿宋" w:eastAsia="仿宋_GB2312" w:cs="仿宋"/>
          <w:sz w:val="32"/>
          <w:szCs w:val="32"/>
          <w:lang w:val="zh-CN" w:eastAsia="zh-CN"/>
        </w:rPr>
        <w:t>导致</w:t>
      </w:r>
      <w:r>
        <w:rPr>
          <w:rFonts w:hint="eastAsia" w:ascii="仿宋_GB2312" w:hAnsi="仿宋" w:eastAsia="仿宋_GB2312" w:cs="仿宋"/>
          <w:sz w:val="32"/>
          <w:szCs w:val="32"/>
          <w:lang w:val="en-US" w:eastAsia="zh-CN"/>
        </w:rPr>
        <w:t>甲硝唑</w:t>
      </w:r>
      <w:r>
        <w:rPr>
          <w:rFonts w:hint="eastAsia" w:ascii="仿宋_GB2312" w:hAnsi="仿宋" w:eastAsia="仿宋_GB2312" w:cs="仿宋"/>
          <w:sz w:val="32"/>
          <w:szCs w:val="32"/>
          <w:lang w:val="zh-CN" w:eastAsia="zh-CN"/>
        </w:rPr>
        <w:t>在其体内残留，进而传递至鸡蛋中。</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（十二）三唑磷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eastAsia="zh-CN"/>
        </w:rPr>
      </w:pPr>
      <w:r>
        <w:rPr>
          <w:rFonts w:hint="eastAsia" w:ascii="仿宋_GB2312" w:hAnsi="仿宋" w:eastAsia="仿宋_GB2312" w:cs="仿宋"/>
          <w:sz w:val="32"/>
          <w:szCs w:val="32"/>
          <w:lang w:val="zh-CN" w:eastAsia="zh-CN"/>
        </w:rPr>
        <w:t>三唑磷属于中等毒性非内吸有机磷广谱杀虫剂、杀螨剂、杀线虫剂，具有触杀作用。《食品安全国家标准</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eastAsia="zh-CN"/>
        </w:rPr>
        <w:t>食品中农药最大残留限量》（GB 2763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eastAsia="zh-CN"/>
        </w:rPr>
        <w:t>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lang w:val="zh-CN" w:eastAsia="zh-CN"/>
        </w:rPr>
        <w:t>）中规定，</w:t>
      </w:r>
      <w:r>
        <w:rPr>
          <w:rFonts w:hint="eastAsia" w:ascii="仿宋_GB2312" w:hAnsi="仿宋" w:eastAsia="仿宋_GB2312" w:cs="仿宋"/>
          <w:sz w:val="32"/>
          <w:szCs w:val="32"/>
          <w:lang w:val="en-US" w:eastAsia="zh-CN"/>
        </w:rPr>
        <w:t>橙</w:t>
      </w:r>
      <w:r>
        <w:rPr>
          <w:rFonts w:hint="eastAsia" w:ascii="仿宋_GB2312" w:hAnsi="仿宋" w:eastAsia="仿宋_GB2312" w:cs="仿宋"/>
          <w:sz w:val="32"/>
          <w:szCs w:val="32"/>
          <w:lang w:val="zh-CN" w:eastAsia="zh-CN"/>
        </w:rPr>
        <w:t>中</w:t>
      </w:r>
      <w:r>
        <w:rPr>
          <w:rFonts w:hint="eastAsia" w:ascii="仿宋_GB2312" w:hAnsi="仿宋" w:eastAsia="仿宋_GB2312" w:cs="仿宋"/>
          <w:sz w:val="32"/>
          <w:szCs w:val="32"/>
          <w:lang w:val="en-US" w:eastAsia="zh-CN"/>
        </w:rPr>
        <w:t>三唑磷</w:t>
      </w:r>
      <w:r>
        <w:rPr>
          <w:rFonts w:hint="eastAsia" w:ascii="仿宋_GB2312" w:hAnsi="仿宋" w:eastAsia="仿宋_GB2312" w:cs="仿宋"/>
          <w:sz w:val="32"/>
          <w:szCs w:val="32"/>
          <w:lang w:val="zh-CN" w:eastAsia="zh-CN"/>
        </w:rPr>
        <w:t>最大残留限量</w:t>
      </w:r>
      <w:r>
        <w:rPr>
          <w:rFonts w:hint="eastAsia" w:ascii="仿宋_GB2312" w:hAnsi="仿宋" w:eastAsia="仿宋_GB2312" w:cs="仿宋"/>
          <w:sz w:val="32"/>
          <w:szCs w:val="32"/>
          <w:lang w:val="en-US" w:eastAsia="zh-CN"/>
        </w:rPr>
        <w:t>值为</w:t>
      </w:r>
      <w:r>
        <w:rPr>
          <w:rFonts w:hint="eastAsia" w:ascii="仿宋_GB2312" w:hAnsi="仿宋" w:eastAsia="仿宋_GB2312" w:cs="仿宋"/>
          <w:sz w:val="32"/>
          <w:szCs w:val="32"/>
          <w:lang w:val="zh-CN" w:eastAsia="zh-CN"/>
        </w:rPr>
        <w:t>0.</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val="zh-CN" w:eastAsia="zh-CN"/>
        </w:rPr>
        <w:t>mg/kg。</w:t>
      </w:r>
      <w:r>
        <w:rPr>
          <w:rFonts w:hint="eastAsia" w:ascii="仿宋_GB2312" w:hAnsi="仿宋" w:cs="仿宋"/>
          <w:sz w:val="32"/>
          <w:szCs w:val="32"/>
          <w:lang w:val="en-US" w:eastAsia="zh-CN"/>
        </w:rPr>
        <w:t>橙</w:t>
      </w:r>
      <w:r>
        <w:rPr>
          <w:rFonts w:hint="eastAsia" w:ascii="仿宋_GB2312" w:hAnsi="仿宋" w:eastAsia="仿宋_GB2312" w:cs="仿宋"/>
          <w:sz w:val="32"/>
          <w:szCs w:val="32"/>
          <w:lang w:val="zh-CN" w:eastAsia="zh-CN"/>
        </w:rPr>
        <w:t>中</w:t>
      </w:r>
      <w:r>
        <w:rPr>
          <w:rFonts w:hint="eastAsia" w:ascii="仿宋_GB2312" w:hAnsi="仿宋" w:cs="仿宋"/>
          <w:sz w:val="32"/>
          <w:szCs w:val="32"/>
          <w:lang w:val="en-US" w:eastAsia="zh-CN"/>
        </w:rPr>
        <w:t>三唑磷</w:t>
      </w:r>
      <w:r>
        <w:rPr>
          <w:rFonts w:hint="eastAsia" w:ascii="仿宋_GB2312" w:hAnsi="仿宋" w:eastAsia="仿宋_GB2312" w:cs="仿宋"/>
          <w:sz w:val="32"/>
          <w:szCs w:val="32"/>
          <w:lang w:val="zh-CN" w:eastAsia="zh-CN"/>
        </w:rPr>
        <w:t>超标的原因，可能是在种植过程中为控制病情加大用药量或者不遵守休药期规定，致使</w:t>
      </w:r>
      <w:r>
        <w:rPr>
          <w:rFonts w:hint="eastAsia" w:ascii="仿宋_GB2312" w:hAnsi="仿宋" w:cs="仿宋"/>
          <w:sz w:val="32"/>
          <w:szCs w:val="32"/>
          <w:lang w:val="en-US" w:eastAsia="zh-CN"/>
        </w:rPr>
        <w:t>上市的</w:t>
      </w:r>
      <w:r>
        <w:rPr>
          <w:rFonts w:hint="eastAsia" w:ascii="仿宋_GB2312" w:hAnsi="仿宋" w:eastAsia="仿宋_GB2312" w:cs="仿宋"/>
          <w:sz w:val="32"/>
          <w:szCs w:val="32"/>
          <w:lang w:val="zh-CN" w:eastAsia="zh-CN"/>
        </w:rPr>
        <w:t>产品中药物残留量未降解至标准限量以下。</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spacing w:before="50" w:beforeLines="0" w:after="50" w:afterLines="0" w:line="579" w:lineRule="exact"/>
        <w:ind w:firstLine="643"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spacing w:before="50" w:beforeLines="0" w:after="50" w:afterLines="0" w:line="579" w:lineRule="exact"/>
        <w:ind w:firstLine="643"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spacing w:before="50" w:beforeLines="0" w:after="50" w:afterLines="0" w:line="579" w:lineRule="exact"/>
        <w:ind w:firstLine="643"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spacing w:before="50" w:beforeLines="0" w:after="50" w:afterLines="0" w:line="579" w:lineRule="exact"/>
        <w:ind w:firstLine="643"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应落实企业主体，加大对食品生产企业关于食品添加剂的相关法律法规和标准知识的宣传力度，进一步宣贯违法添加和滥用食品添加剂行为的危害性以及通过加大惩处等措施来提高食品生产企业的食品添加剂安全使用意识。</w:t>
      </w:r>
    </w:p>
    <w:p>
      <w:pPr>
        <w:pStyle w:val="5"/>
        <w:spacing w:before="50" w:beforeLines="0" w:after="50" w:afterLines="0" w:line="579" w:lineRule="exact"/>
        <w:ind w:firstLine="643"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针对种植养殖环节，种植养殖户应严格按照药物说明书进行规范用药。加大对生产经营人员专业知识的培训，对种植养殖基地、农户进行药物使用知识的培训力度，加强种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2AF45D-3C39-435B-947A-68FED8F315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434BC5B-8A62-4EB5-BB36-852B476C47E7}"/>
  </w:font>
  <w:font w:name="楷体_GB2312">
    <w:panose1 w:val="02010609030101010101"/>
    <w:charset w:val="86"/>
    <w:family w:val="auto"/>
    <w:pitch w:val="default"/>
    <w:sig w:usb0="00000001" w:usb1="080E0000" w:usb2="00000000" w:usb3="00000000" w:csb0="00040000" w:csb1="00000000"/>
    <w:embedRegular r:id="rId3" w:fontKey="{1599E20A-7A5D-4C9B-8D56-7C9471EE7691}"/>
  </w:font>
  <w:font w:name="Calibri Light">
    <w:panose1 w:val="020F03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F4C18353-2DD3-4D7E-8BBF-406EE2306C22}"/>
  </w:font>
  <w:font w:name="微软雅黑">
    <w:panose1 w:val="020B0503020204020204"/>
    <w:charset w:val="86"/>
    <w:family w:val="auto"/>
    <w:pitch w:val="default"/>
    <w:sig w:usb0="80000287" w:usb1="2ACF3C50" w:usb2="00000016" w:usb3="00000000" w:csb0="0004001F" w:csb1="00000000"/>
    <w:embedRegular r:id="rId5" w:fontKey="{6E238CCC-52FB-48BC-9628-87E92B154A47}"/>
  </w:font>
  <w:font w:name="华文中宋">
    <w:panose1 w:val="02010600040101010101"/>
    <w:charset w:val="86"/>
    <w:family w:val="auto"/>
    <w:pitch w:val="default"/>
    <w:sig w:usb0="00000287" w:usb1="080F0000" w:usb2="00000000" w:usb3="00000000" w:csb0="0004009F" w:csb1="DFD70000"/>
    <w:embedRegular r:id="rId6" w:fontKey="{6487F6A9-9A7E-4BCF-A4AD-EC28810C8BF8}"/>
  </w:font>
  <w:font w:name="仿宋">
    <w:panose1 w:val="02010609060101010101"/>
    <w:charset w:val="86"/>
    <w:family w:val="modern"/>
    <w:pitch w:val="default"/>
    <w:sig w:usb0="800002BF" w:usb1="38CF7CFA" w:usb2="00000016" w:usb3="00000000" w:csb0="00040001" w:csb1="00000000"/>
    <w:embedRegular r:id="rId7" w:fontKey="{802CCB5E-9BB1-40E3-B62D-CABDE0E1B9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977A2"/>
    <w:rsid w:val="00BE4BAD"/>
    <w:rsid w:val="00BF706B"/>
    <w:rsid w:val="00CB51BD"/>
    <w:rsid w:val="00CD6745"/>
    <w:rsid w:val="00E46AD2"/>
    <w:rsid w:val="00EF1828"/>
    <w:rsid w:val="00F74A57"/>
    <w:rsid w:val="010D4506"/>
    <w:rsid w:val="01147286"/>
    <w:rsid w:val="011C626C"/>
    <w:rsid w:val="01251E99"/>
    <w:rsid w:val="01565C22"/>
    <w:rsid w:val="0165091A"/>
    <w:rsid w:val="017D0269"/>
    <w:rsid w:val="017D26A4"/>
    <w:rsid w:val="01880CE2"/>
    <w:rsid w:val="01B14C06"/>
    <w:rsid w:val="01D53863"/>
    <w:rsid w:val="01D55CA5"/>
    <w:rsid w:val="01DA199E"/>
    <w:rsid w:val="01DD3C4D"/>
    <w:rsid w:val="01DF087E"/>
    <w:rsid w:val="01F62F61"/>
    <w:rsid w:val="0250093A"/>
    <w:rsid w:val="02C63348"/>
    <w:rsid w:val="02E13ED6"/>
    <w:rsid w:val="030904ED"/>
    <w:rsid w:val="03095C9B"/>
    <w:rsid w:val="03365C46"/>
    <w:rsid w:val="033B6E7D"/>
    <w:rsid w:val="034743C9"/>
    <w:rsid w:val="034F1986"/>
    <w:rsid w:val="03C230FA"/>
    <w:rsid w:val="03D35307"/>
    <w:rsid w:val="03DD5D77"/>
    <w:rsid w:val="03E020C5"/>
    <w:rsid w:val="03EB7B76"/>
    <w:rsid w:val="03FD00B3"/>
    <w:rsid w:val="040D00EE"/>
    <w:rsid w:val="0453793B"/>
    <w:rsid w:val="046B19E4"/>
    <w:rsid w:val="04977BD5"/>
    <w:rsid w:val="04AF4E5A"/>
    <w:rsid w:val="04E17E90"/>
    <w:rsid w:val="05281683"/>
    <w:rsid w:val="0539563E"/>
    <w:rsid w:val="055921C9"/>
    <w:rsid w:val="055A195A"/>
    <w:rsid w:val="05744738"/>
    <w:rsid w:val="057C4A8E"/>
    <w:rsid w:val="05882122"/>
    <w:rsid w:val="0597115B"/>
    <w:rsid w:val="05E76D20"/>
    <w:rsid w:val="05F03296"/>
    <w:rsid w:val="05FC5E26"/>
    <w:rsid w:val="061F6FA5"/>
    <w:rsid w:val="06261016"/>
    <w:rsid w:val="06585F98"/>
    <w:rsid w:val="066C5CEA"/>
    <w:rsid w:val="06894B40"/>
    <w:rsid w:val="06C929F2"/>
    <w:rsid w:val="06C947A0"/>
    <w:rsid w:val="06DD27C7"/>
    <w:rsid w:val="06EF7070"/>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CF602B9"/>
    <w:rsid w:val="0D1C5633"/>
    <w:rsid w:val="0D2F4443"/>
    <w:rsid w:val="0D5F7C0C"/>
    <w:rsid w:val="0D6C4E32"/>
    <w:rsid w:val="0D7B24F4"/>
    <w:rsid w:val="0D7C6A10"/>
    <w:rsid w:val="0D7E5469"/>
    <w:rsid w:val="0DA07C14"/>
    <w:rsid w:val="0DD04666"/>
    <w:rsid w:val="0DF26CD2"/>
    <w:rsid w:val="0DFE11D3"/>
    <w:rsid w:val="0E1F76A0"/>
    <w:rsid w:val="0E25775A"/>
    <w:rsid w:val="0E291C53"/>
    <w:rsid w:val="0E2E4AB8"/>
    <w:rsid w:val="0E431583"/>
    <w:rsid w:val="0E7310BF"/>
    <w:rsid w:val="0EA926E5"/>
    <w:rsid w:val="0EA93008"/>
    <w:rsid w:val="0EBF36D0"/>
    <w:rsid w:val="0EC839C2"/>
    <w:rsid w:val="0EE54A33"/>
    <w:rsid w:val="0EFD0CC2"/>
    <w:rsid w:val="0F261454"/>
    <w:rsid w:val="0F2904D1"/>
    <w:rsid w:val="0F3B0205"/>
    <w:rsid w:val="0F567840"/>
    <w:rsid w:val="0F9C6C28"/>
    <w:rsid w:val="0FAA22AF"/>
    <w:rsid w:val="0FCE13D5"/>
    <w:rsid w:val="0FD7772F"/>
    <w:rsid w:val="0FE51EE1"/>
    <w:rsid w:val="0FF02D9D"/>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166FBF"/>
    <w:rsid w:val="132536A6"/>
    <w:rsid w:val="13272F7A"/>
    <w:rsid w:val="132F1E2E"/>
    <w:rsid w:val="136C1F21"/>
    <w:rsid w:val="137821D3"/>
    <w:rsid w:val="137A7568"/>
    <w:rsid w:val="13803E88"/>
    <w:rsid w:val="13914897"/>
    <w:rsid w:val="139A1CB2"/>
    <w:rsid w:val="13B011C1"/>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BA07CD"/>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BD9515F"/>
    <w:rsid w:val="1C147E56"/>
    <w:rsid w:val="1C1C3FAA"/>
    <w:rsid w:val="1C242F43"/>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D40180"/>
    <w:rsid w:val="1DE65257"/>
    <w:rsid w:val="1DE859FC"/>
    <w:rsid w:val="1E3C794C"/>
    <w:rsid w:val="1E6D3D85"/>
    <w:rsid w:val="1EC04283"/>
    <w:rsid w:val="1EFD4E3F"/>
    <w:rsid w:val="1F120F82"/>
    <w:rsid w:val="1F164B9D"/>
    <w:rsid w:val="1F2249F5"/>
    <w:rsid w:val="1F3709E9"/>
    <w:rsid w:val="1F456A61"/>
    <w:rsid w:val="1F845AC6"/>
    <w:rsid w:val="1FA3607E"/>
    <w:rsid w:val="1FA37E2C"/>
    <w:rsid w:val="1FC46809"/>
    <w:rsid w:val="1FEA3D63"/>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6F6BEA"/>
    <w:rsid w:val="2371579E"/>
    <w:rsid w:val="239E5804"/>
    <w:rsid w:val="23AA66E9"/>
    <w:rsid w:val="241B6079"/>
    <w:rsid w:val="242C4776"/>
    <w:rsid w:val="24415E66"/>
    <w:rsid w:val="247E06E4"/>
    <w:rsid w:val="2480073C"/>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D171E0"/>
    <w:rsid w:val="27DC01F1"/>
    <w:rsid w:val="280F0CF1"/>
    <w:rsid w:val="282A264F"/>
    <w:rsid w:val="282F4CB8"/>
    <w:rsid w:val="28664823"/>
    <w:rsid w:val="288764EB"/>
    <w:rsid w:val="28C13ECB"/>
    <w:rsid w:val="28C8445F"/>
    <w:rsid w:val="28EE2E75"/>
    <w:rsid w:val="28FE2370"/>
    <w:rsid w:val="2911326E"/>
    <w:rsid w:val="29161A85"/>
    <w:rsid w:val="29177195"/>
    <w:rsid w:val="2928376B"/>
    <w:rsid w:val="29292876"/>
    <w:rsid w:val="292F0982"/>
    <w:rsid w:val="293643AA"/>
    <w:rsid w:val="294A1318"/>
    <w:rsid w:val="295771E6"/>
    <w:rsid w:val="296E17C2"/>
    <w:rsid w:val="2987431B"/>
    <w:rsid w:val="29A520E4"/>
    <w:rsid w:val="29A70519"/>
    <w:rsid w:val="29DF09A6"/>
    <w:rsid w:val="29E9308E"/>
    <w:rsid w:val="2A01123C"/>
    <w:rsid w:val="2A012B32"/>
    <w:rsid w:val="2A0D233A"/>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8F0845"/>
    <w:rsid w:val="2D914B0D"/>
    <w:rsid w:val="2D98413C"/>
    <w:rsid w:val="2DA27B95"/>
    <w:rsid w:val="2DA870E5"/>
    <w:rsid w:val="2DBF7F88"/>
    <w:rsid w:val="2DCA4231"/>
    <w:rsid w:val="2DCD3AA1"/>
    <w:rsid w:val="2DDBF25F"/>
    <w:rsid w:val="2DE04FE3"/>
    <w:rsid w:val="2E0C1292"/>
    <w:rsid w:val="2E124216"/>
    <w:rsid w:val="2E172668"/>
    <w:rsid w:val="2E332B84"/>
    <w:rsid w:val="2E6B3A9D"/>
    <w:rsid w:val="2E871900"/>
    <w:rsid w:val="2E9A77C2"/>
    <w:rsid w:val="2EA94D33"/>
    <w:rsid w:val="2EC10CB4"/>
    <w:rsid w:val="2EDD678B"/>
    <w:rsid w:val="2F08555E"/>
    <w:rsid w:val="2F085758"/>
    <w:rsid w:val="2F320885"/>
    <w:rsid w:val="2F3645E1"/>
    <w:rsid w:val="2F3F7F56"/>
    <w:rsid w:val="2F4F707A"/>
    <w:rsid w:val="2F53420F"/>
    <w:rsid w:val="2F6B1FE9"/>
    <w:rsid w:val="2FAF1ED5"/>
    <w:rsid w:val="2FD44032"/>
    <w:rsid w:val="2FD45D99"/>
    <w:rsid w:val="2FDDE7AC"/>
    <w:rsid w:val="2FEFF020"/>
    <w:rsid w:val="2FF43D8C"/>
    <w:rsid w:val="2FF522D5"/>
    <w:rsid w:val="2FFC71C6"/>
    <w:rsid w:val="2FFF1F30"/>
    <w:rsid w:val="30313232"/>
    <w:rsid w:val="306D4C14"/>
    <w:rsid w:val="307B5CC3"/>
    <w:rsid w:val="308A4336"/>
    <w:rsid w:val="30B03C31"/>
    <w:rsid w:val="30B3361E"/>
    <w:rsid w:val="30BE080C"/>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F00BC"/>
    <w:rsid w:val="32430FFB"/>
    <w:rsid w:val="324700B2"/>
    <w:rsid w:val="324C4353"/>
    <w:rsid w:val="33027ECE"/>
    <w:rsid w:val="330D2087"/>
    <w:rsid w:val="330F0153"/>
    <w:rsid w:val="33132CF8"/>
    <w:rsid w:val="3334531C"/>
    <w:rsid w:val="33564484"/>
    <w:rsid w:val="336A3327"/>
    <w:rsid w:val="33713745"/>
    <w:rsid w:val="33936A04"/>
    <w:rsid w:val="33D14A37"/>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213F29"/>
    <w:rsid w:val="364C2B74"/>
    <w:rsid w:val="364D0859"/>
    <w:rsid w:val="36A26439"/>
    <w:rsid w:val="36A86284"/>
    <w:rsid w:val="36B86E24"/>
    <w:rsid w:val="37190EF9"/>
    <w:rsid w:val="372845B2"/>
    <w:rsid w:val="3730757F"/>
    <w:rsid w:val="37356353"/>
    <w:rsid w:val="37501605"/>
    <w:rsid w:val="375ED402"/>
    <w:rsid w:val="37790A88"/>
    <w:rsid w:val="3787038C"/>
    <w:rsid w:val="37AE204B"/>
    <w:rsid w:val="37BE00EC"/>
    <w:rsid w:val="37CC35F3"/>
    <w:rsid w:val="37DD6246"/>
    <w:rsid w:val="37E80261"/>
    <w:rsid w:val="37FC2378"/>
    <w:rsid w:val="380D3155"/>
    <w:rsid w:val="381B27FE"/>
    <w:rsid w:val="381E23B5"/>
    <w:rsid w:val="38211DDE"/>
    <w:rsid w:val="382D7593"/>
    <w:rsid w:val="38622AFA"/>
    <w:rsid w:val="3869423A"/>
    <w:rsid w:val="387272BF"/>
    <w:rsid w:val="387C3F07"/>
    <w:rsid w:val="38865B2F"/>
    <w:rsid w:val="38CF0F74"/>
    <w:rsid w:val="38E250CA"/>
    <w:rsid w:val="38F14A9A"/>
    <w:rsid w:val="38FE48AD"/>
    <w:rsid w:val="391B060E"/>
    <w:rsid w:val="39264334"/>
    <w:rsid w:val="39275408"/>
    <w:rsid w:val="39335D96"/>
    <w:rsid w:val="3949339B"/>
    <w:rsid w:val="39537D75"/>
    <w:rsid w:val="39694B31"/>
    <w:rsid w:val="39824C43"/>
    <w:rsid w:val="398B0B0F"/>
    <w:rsid w:val="39A131D7"/>
    <w:rsid w:val="39BC591B"/>
    <w:rsid w:val="39C050AD"/>
    <w:rsid w:val="39C64A66"/>
    <w:rsid w:val="39DE7F87"/>
    <w:rsid w:val="3A030663"/>
    <w:rsid w:val="3A193765"/>
    <w:rsid w:val="3A856654"/>
    <w:rsid w:val="3A9C03AB"/>
    <w:rsid w:val="3AB301FA"/>
    <w:rsid w:val="3AD354E6"/>
    <w:rsid w:val="3AD81184"/>
    <w:rsid w:val="3AE12B76"/>
    <w:rsid w:val="3AF480B1"/>
    <w:rsid w:val="3B1904CB"/>
    <w:rsid w:val="3B2518DE"/>
    <w:rsid w:val="3B3F22C6"/>
    <w:rsid w:val="3B504FA6"/>
    <w:rsid w:val="3B9A612F"/>
    <w:rsid w:val="3BAB1A67"/>
    <w:rsid w:val="3BBD76F4"/>
    <w:rsid w:val="3BFE4DC9"/>
    <w:rsid w:val="3C064771"/>
    <w:rsid w:val="3C5605DE"/>
    <w:rsid w:val="3C6669DF"/>
    <w:rsid w:val="3C875304"/>
    <w:rsid w:val="3C8F2962"/>
    <w:rsid w:val="3CA60B04"/>
    <w:rsid w:val="3CA67A9F"/>
    <w:rsid w:val="3CAA6DA2"/>
    <w:rsid w:val="3CDD7A17"/>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73A84F"/>
    <w:rsid w:val="3F7A3AC2"/>
    <w:rsid w:val="3F7B3F64"/>
    <w:rsid w:val="3FA3326B"/>
    <w:rsid w:val="3FDFC185"/>
    <w:rsid w:val="3FF34060"/>
    <w:rsid w:val="3FF35527"/>
    <w:rsid w:val="3FFD6C8D"/>
    <w:rsid w:val="40191044"/>
    <w:rsid w:val="40BA6D87"/>
    <w:rsid w:val="40CB28E7"/>
    <w:rsid w:val="40F63E08"/>
    <w:rsid w:val="41055DF9"/>
    <w:rsid w:val="411C1395"/>
    <w:rsid w:val="41483F38"/>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17AA8"/>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845473"/>
    <w:rsid w:val="469D31F6"/>
    <w:rsid w:val="46A3209A"/>
    <w:rsid w:val="46CC6013"/>
    <w:rsid w:val="46E64E0E"/>
    <w:rsid w:val="46E75FA1"/>
    <w:rsid w:val="47292039"/>
    <w:rsid w:val="473B7AEC"/>
    <w:rsid w:val="474D52A8"/>
    <w:rsid w:val="47592235"/>
    <w:rsid w:val="4787325F"/>
    <w:rsid w:val="478D1745"/>
    <w:rsid w:val="479635F9"/>
    <w:rsid w:val="47F02097"/>
    <w:rsid w:val="481C57BF"/>
    <w:rsid w:val="482B56E1"/>
    <w:rsid w:val="484056BB"/>
    <w:rsid w:val="48412CA0"/>
    <w:rsid w:val="4848609B"/>
    <w:rsid w:val="4852746A"/>
    <w:rsid w:val="48585D59"/>
    <w:rsid w:val="48593CD4"/>
    <w:rsid w:val="4864409A"/>
    <w:rsid w:val="48770C7F"/>
    <w:rsid w:val="48961A2D"/>
    <w:rsid w:val="48C53F99"/>
    <w:rsid w:val="48C74CD3"/>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43351"/>
    <w:rsid w:val="4CD87DA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960564"/>
    <w:rsid w:val="4FB05ACA"/>
    <w:rsid w:val="4FBF7ABB"/>
    <w:rsid w:val="4FE23640"/>
    <w:rsid w:val="4FED4605"/>
    <w:rsid w:val="4FF754A7"/>
    <w:rsid w:val="4FFA29D6"/>
    <w:rsid w:val="50023AE7"/>
    <w:rsid w:val="50047050"/>
    <w:rsid w:val="503305EE"/>
    <w:rsid w:val="50561BEF"/>
    <w:rsid w:val="50A32F39"/>
    <w:rsid w:val="50AD2009"/>
    <w:rsid w:val="50C64E79"/>
    <w:rsid w:val="50C730CB"/>
    <w:rsid w:val="512A5408"/>
    <w:rsid w:val="513151C4"/>
    <w:rsid w:val="5151508A"/>
    <w:rsid w:val="519A433C"/>
    <w:rsid w:val="51C22291"/>
    <w:rsid w:val="51F5342B"/>
    <w:rsid w:val="52332F51"/>
    <w:rsid w:val="52551F21"/>
    <w:rsid w:val="52851BBF"/>
    <w:rsid w:val="528B5881"/>
    <w:rsid w:val="52911BE2"/>
    <w:rsid w:val="52A0415B"/>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6A671B"/>
    <w:rsid w:val="557E5EAF"/>
    <w:rsid w:val="55961D9B"/>
    <w:rsid w:val="55983288"/>
    <w:rsid w:val="55A40D83"/>
    <w:rsid w:val="55A51501"/>
    <w:rsid w:val="55F22D46"/>
    <w:rsid w:val="55F36710"/>
    <w:rsid w:val="560E61C5"/>
    <w:rsid w:val="56A81B8F"/>
    <w:rsid w:val="56A93273"/>
    <w:rsid w:val="56D02FB6"/>
    <w:rsid w:val="56F855E6"/>
    <w:rsid w:val="56FE090D"/>
    <w:rsid w:val="57295295"/>
    <w:rsid w:val="572D1195"/>
    <w:rsid w:val="5736351F"/>
    <w:rsid w:val="5737759B"/>
    <w:rsid w:val="573A3ADD"/>
    <w:rsid w:val="577D74E9"/>
    <w:rsid w:val="577E200A"/>
    <w:rsid w:val="57953DAE"/>
    <w:rsid w:val="57A2219C"/>
    <w:rsid w:val="57C97EF9"/>
    <w:rsid w:val="57E816E6"/>
    <w:rsid w:val="57F91CA1"/>
    <w:rsid w:val="57FE2087"/>
    <w:rsid w:val="586B71C9"/>
    <w:rsid w:val="5889335C"/>
    <w:rsid w:val="590154BD"/>
    <w:rsid w:val="591250FF"/>
    <w:rsid w:val="59527B6B"/>
    <w:rsid w:val="596F2E54"/>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C34E88"/>
    <w:rsid w:val="5ACB3EE2"/>
    <w:rsid w:val="5AED1980"/>
    <w:rsid w:val="5B13142F"/>
    <w:rsid w:val="5B4B2BCB"/>
    <w:rsid w:val="5B6D2930"/>
    <w:rsid w:val="5B98016E"/>
    <w:rsid w:val="5BD14DFE"/>
    <w:rsid w:val="5BD65D63"/>
    <w:rsid w:val="5BEE25A2"/>
    <w:rsid w:val="5BEF05B4"/>
    <w:rsid w:val="5BF9129C"/>
    <w:rsid w:val="5C000884"/>
    <w:rsid w:val="5C1318BA"/>
    <w:rsid w:val="5C224F8E"/>
    <w:rsid w:val="5C240B88"/>
    <w:rsid w:val="5C2740F2"/>
    <w:rsid w:val="5C317F92"/>
    <w:rsid w:val="5C7273C4"/>
    <w:rsid w:val="5C891B7C"/>
    <w:rsid w:val="5C9C0F66"/>
    <w:rsid w:val="5CB32755"/>
    <w:rsid w:val="5CE32788"/>
    <w:rsid w:val="5CF42BEF"/>
    <w:rsid w:val="5CF918E1"/>
    <w:rsid w:val="5D1A0A26"/>
    <w:rsid w:val="5D327B1E"/>
    <w:rsid w:val="5D3824D8"/>
    <w:rsid w:val="5D5C2CCF"/>
    <w:rsid w:val="5DAF73C1"/>
    <w:rsid w:val="5DCD289F"/>
    <w:rsid w:val="5E0606ED"/>
    <w:rsid w:val="5E070FAB"/>
    <w:rsid w:val="5E0D1B19"/>
    <w:rsid w:val="5E214E94"/>
    <w:rsid w:val="5E275C6B"/>
    <w:rsid w:val="5E294417"/>
    <w:rsid w:val="5E4C0D3E"/>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4E2C09"/>
    <w:rsid w:val="5F5A1107"/>
    <w:rsid w:val="5F7E1BB9"/>
    <w:rsid w:val="5F831A12"/>
    <w:rsid w:val="5FAD7930"/>
    <w:rsid w:val="5FB95C6C"/>
    <w:rsid w:val="5FB95F86"/>
    <w:rsid w:val="5FE1582B"/>
    <w:rsid w:val="5FF70784"/>
    <w:rsid w:val="5FF94275"/>
    <w:rsid w:val="5FFC1C7C"/>
    <w:rsid w:val="5FFE9417"/>
    <w:rsid w:val="601163AE"/>
    <w:rsid w:val="60270757"/>
    <w:rsid w:val="6048573D"/>
    <w:rsid w:val="6058186C"/>
    <w:rsid w:val="60811A98"/>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5DCF03"/>
    <w:rsid w:val="65BD759E"/>
    <w:rsid w:val="65DFB420"/>
    <w:rsid w:val="65E578BD"/>
    <w:rsid w:val="661C75BD"/>
    <w:rsid w:val="665054B9"/>
    <w:rsid w:val="66581705"/>
    <w:rsid w:val="66591D64"/>
    <w:rsid w:val="665C3E5E"/>
    <w:rsid w:val="666A4D62"/>
    <w:rsid w:val="668A5EDC"/>
    <w:rsid w:val="66927680"/>
    <w:rsid w:val="66D06442"/>
    <w:rsid w:val="66DE04FB"/>
    <w:rsid w:val="66ED2371"/>
    <w:rsid w:val="67180D7A"/>
    <w:rsid w:val="671E7365"/>
    <w:rsid w:val="673A7532"/>
    <w:rsid w:val="6756300A"/>
    <w:rsid w:val="67663F7B"/>
    <w:rsid w:val="6792245C"/>
    <w:rsid w:val="67AC56C6"/>
    <w:rsid w:val="67B0692B"/>
    <w:rsid w:val="67CF623D"/>
    <w:rsid w:val="6801069F"/>
    <w:rsid w:val="680F265C"/>
    <w:rsid w:val="6832131A"/>
    <w:rsid w:val="68511B31"/>
    <w:rsid w:val="68550796"/>
    <w:rsid w:val="687D6CC8"/>
    <w:rsid w:val="68BA7C55"/>
    <w:rsid w:val="68C6580E"/>
    <w:rsid w:val="68C857DA"/>
    <w:rsid w:val="68CA286A"/>
    <w:rsid w:val="68D8569B"/>
    <w:rsid w:val="68E66C0F"/>
    <w:rsid w:val="68EA195C"/>
    <w:rsid w:val="690A7BA1"/>
    <w:rsid w:val="69113DCA"/>
    <w:rsid w:val="69130912"/>
    <w:rsid w:val="693FB035"/>
    <w:rsid w:val="697257F6"/>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33480"/>
    <w:rsid w:val="6AC56475"/>
    <w:rsid w:val="6B1806CB"/>
    <w:rsid w:val="6B3E7FD6"/>
    <w:rsid w:val="6B453112"/>
    <w:rsid w:val="6B583569"/>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B62996"/>
    <w:rsid w:val="6CBF6EF4"/>
    <w:rsid w:val="6CDD1D59"/>
    <w:rsid w:val="6CE32BE3"/>
    <w:rsid w:val="6D0418DF"/>
    <w:rsid w:val="6D2D0AA9"/>
    <w:rsid w:val="6D435152"/>
    <w:rsid w:val="6D5A0320"/>
    <w:rsid w:val="6D731B27"/>
    <w:rsid w:val="6D76258B"/>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195A"/>
    <w:rsid w:val="6F1957D5"/>
    <w:rsid w:val="6F2968A7"/>
    <w:rsid w:val="6F327E52"/>
    <w:rsid w:val="6F535FB4"/>
    <w:rsid w:val="6F69594F"/>
    <w:rsid w:val="6F7FCB0B"/>
    <w:rsid w:val="6F9B68AC"/>
    <w:rsid w:val="6FA25061"/>
    <w:rsid w:val="6FA475BA"/>
    <w:rsid w:val="6FFE18DC"/>
    <w:rsid w:val="70076BE8"/>
    <w:rsid w:val="70254438"/>
    <w:rsid w:val="705D5B4C"/>
    <w:rsid w:val="70781894"/>
    <w:rsid w:val="70810F1E"/>
    <w:rsid w:val="70C42C4C"/>
    <w:rsid w:val="70C911BE"/>
    <w:rsid w:val="70E4112F"/>
    <w:rsid w:val="71085C83"/>
    <w:rsid w:val="71532927"/>
    <w:rsid w:val="716A6CA7"/>
    <w:rsid w:val="71754C6E"/>
    <w:rsid w:val="71915F81"/>
    <w:rsid w:val="71926986"/>
    <w:rsid w:val="71A62431"/>
    <w:rsid w:val="71A754EA"/>
    <w:rsid w:val="71DB6825"/>
    <w:rsid w:val="71E4311C"/>
    <w:rsid w:val="71FE04BF"/>
    <w:rsid w:val="72014BAF"/>
    <w:rsid w:val="722132C5"/>
    <w:rsid w:val="723F4D5F"/>
    <w:rsid w:val="7275613E"/>
    <w:rsid w:val="72A04A1F"/>
    <w:rsid w:val="72F24D9D"/>
    <w:rsid w:val="733275F5"/>
    <w:rsid w:val="736D3A66"/>
    <w:rsid w:val="738026E3"/>
    <w:rsid w:val="73A979E7"/>
    <w:rsid w:val="73AC6367"/>
    <w:rsid w:val="73B3F0D5"/>
    <w:rsid w:val="73F31987"/>
    <w:rsid w:val="73F8607C"/>
    <w:rsid w:val="740A4EF9"/>
    <w:rsid w:val="74104D2B"/>
    <w:rsid w:val="7432739D"/>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FB507"/>
    <w:rsid w:val="760E66A5"/>
    <w:rsid w:val="762460E6"/>
    <w:rsid w:val="763955BF"/>
    <w:rsid w:val="767D5E56"/>
    <w:rsid w:val="76960CC6"/>
    <w:rsid w:val="769BBB72"/>
    <w:rsid w:val="76AB5407"/>
    <w:rsid w:val="76BF5047"/>
    <w:rsid w:val="76D01F34"/>
    <w:rsid w:val="773235C9"/>
    <w:rsid w:val="773A01B0"/>
    <w:rsid w:val="77446974"/>
    <w:rsid w:val="778D031B"/>
    <w:rsid w:val="779A49A3"/>
    <w:rsid w:val="77BF6833"/>
    <w:rsid w:val="77D870BC"/>
    <w:rsid w:val="77DC4DFE"/>
    <w:rsid w:val="77E13BB3"/>
    <w:rsid w:val="77FC16E5"/>
    <w:rsid w:val="77FD15F2"/>
    <w:rsid w:val="78300CA6"/>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FD5C6D"/>
    <w:rsid w:val="7E200091"/>
    <w:rsid w:val="7E30031F"/>
    <w:rsid w:val="7E413C0D"/>
    <w:rsid w:val="7E494870"/>
    <w:rsid w:val="7E5F156C"/>
    <w:rsid w:val="7E611589"/>
    <w:rsid w:val="7E730D4D"/>
    <w:rsid w:val="7EE9C774"/>
    <w:rsid w:val="7EF24F07"/>
    <w:rsid w:val="7EF340E1"/>
    <w:rsid w:val="7F270D2A"/>
    <w:rsid w:val="7F3D2AE4"/>
    <w:rsid w:val="7F5A02BC"/>
    <w:rsid w:val="7F5F1397"/>
    <w:rsid w:val="7F6330BA"/>
    <w:rsid w:val="7F757B5A"/>
    <w:rsid w:val="7F792F33"/>
    <w:rsid w:val="7F7FB110"/>
    <w:rsid w:val="7FBF8D32"/>
    <w:rsid w:val="7FCC0B4F"/>
    <w:rsid w:val="7FD46120"/>
    <w:rsid w:val="7FDA1B18"/>
    <w:rsid w:val="7FE7D157"/>
    <w:rsid w:val="7FFFE7AD"/>
    <w:rsid w:val="92FE08CB"/>
    <w:rsid w:val="97F7DF46"/>
    <w:rsid w:val="9BBF972D"/>
    <w:rsid w:val="9DF7CEA9"/>
    <w:rsid w:val="AEEE30C1"/>
    <w:rsid w:val="AFFB964B"/>
    <w:rsid w:val="B1D9AC5A"/>
    <w:rsid w:val="B7D76AF5"/>
    <w:rsid w:val="B7F73053"/>
    <w:rsid w:val="B9CEC52A"/>
    <w:rsid w:val="B9D5F0C4"/>
    <w:rsid w:val="BB661BB0"/>
    <w:rsid w:val="BE3B2303"/>
    <w:rsid w:val="BF8F8D2D"/>
    <w:rsid w:val="CB6FC8DD"/>
    <w:rsid w:val="CBF7A602"/>
    <w:rsid w:val="CFAF23F9"/>
    <w:rsid w:val="D76DA538"/>
    <w:rsid w:val="DBBDDB76"/>
    <w:rsid w:val="DBF7F79B"/>
    <w:rsid w:val="DD7F9EBD"/>
    <w:rsid w:val="DDF536DB"/>
    <w:rsid w:val="DED38688"/>
    <w:rsid w:val="DF9991DE"/>
    <w:rsid w:val="DFF3F26B"/>
    <w:rsid w:val="E39F94CA"/>
    <w:rsid w:val="E3FDADDB"/>
    <w:rsid w:val="E7F910E2"/>
    <w:rsid w:val="EBEFC767"/>
    <w:rsid w:val="ED15A90A"/>
    <w:rsid w:val="EE7316CA"/>
    <w:rsid w:val="EEF55B3F"/>
    <w:rsid w:val="EF7CFAA2"/>
    <w:rsid w:val="EFAE7F87"/>
    <w:rsid w:val="EFEBA346"/>
    <w:rsid w:val="F0B794B4"/>
    <w:rsid w:val="F3ED95FC"/>
    <w:rsid w:val="F7ECF96B"/>
    <w:rsid w:val="FA7E50B3"/>
    <w:rsid w:val="FAB726F5"/>
    <w:rsid w:val="FAEDBC27"/>
    <w:rsid w:val="FB5F206E"/>
    <w:rsid w:val="FBDFC5C0"/>
    <w:rsid w:val="FCBDC614"/>
    <w:rsid w:val="FF0DE234"/>
    <w:rsid w:val="FF57A5CE"/>
    <w:rsid w:val="FFBFEC9E"/>
    <w:rsid w:val="FFCBA6B7"/>
    <w:rsid w:val="FFE8227D"/>
    <w:rsid w:val="FFEFE8F9"/>
    <w:rsid w:val="FFF923D9"/>
    <w:rsid w:val="FFFB292C"/>
    <w:rsid w:val="FFFDC31A"/>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3366</Words>
  <Characters>3682</Characters>
  <Lines>28</Lines>
  <Paragraphs>8</Paragraphs>
  <TotalTime>13</TotalTime>
  <ScaleCrop>false</ScaleCrop>
  <LinksUpToDate>false</LinksUpToDate>
  <CharactersWithSpaces>3716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2020-12-20T22:54:00Z</dcterms:created>
  <dc:creator>zhenyongwen</dc:creator>
  <cp:lastModifiedBy>韦慧勤</cp:lastModifiedBy>
  <cp:lastPrinted>2024-08-28T08:55:00Z</cp:lastPrinted>
  <dcterms:modified xsi:type="dcterms:W3CDTF">2024-09-10T02:39:11Z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