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left="0" w:leftChars="0" w:firstLine="0" w:firstLineChars="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kern w:val="2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kern w:val="2"/>
          <w:sz w:val="44"/>
          <w:szCs w:val="44"/>
          <w:lang w:val="en-US" w:eastAsia="zh-CN"/>
        </w:rPr>
        <w:t>法治政府建设正面典型案例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581" w:beforeLines="100" w:beforeAutospacing="0" w:after="0" w:afterAutospacing="0" w:line="560" w:lineRule="exact"/>
        <w:ind w:firstLine="612" w:firstLineChars="200"/>
        <w:jc w:val="both"/>
        <w:textAlignment w:val="auto"/>
        <w:rPr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2023年，南山区民政局坚持以习近平新时代中国特色社会主义思想为指导，深入学习贯彻习近平法治思想，全面贯彻落实关于法治政府建设的决策部署，</w:t>
      </w:r>
      <w:r>
        <w:rPr>
          <w:rFonts w:hint="eastAsia" w:ascii="仿宋_GB2312" w:hAnsi="仿宋_GB2312" w:cs="仿宋_GB2312"/>
          <w:color w:val="000000"/>
          <w:kern w:val="0"/>
          <w:sz w:val="31"/>
          <w:szCs w:val="31"/>
          <w:lang w:val="en-US" w:eastAsia="zh-CN" w:bidi="ar"/>
        </w:rPr>
        <w:t>以高质量的行政执法推动社会组织健康有序发展，形成了</w:t>
      </w:r>
      <w:r>
        <w:rPr>
          <w:rFonts w:hint="eastAsia" w:ascii="仿宋_GB2312" w:eastAsia="仿宋_GB2312"/>
          <w:sz w:val="32"/>
          <w:szCs w:val="32"/>
          <w:highlight w:val="none"/>
        </w:rPr>
        <w:t>可复制可推广的</w:t>
      </w:r>
      <w:r>
        <w:rPr>
          <w:rFonts w:hint="eastAsia" w:ascii="仿宋_GB2312"/>
          <w:sz w:val="32"/>
          <w:szCs w:val="32"/>
          <w:highlight w:val="none"/>
          <w:lang w:eastAsia="zh-CN"/>
        </w:rPr>
        <w:t>南山经验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Autospacing="0" w:after="0" w:afterAutospacing="0" w:line="560" w:lineRule="exact"/>
        <w:ind w:firstLine="632" w:firstLineChars="200"/>
        <w:jc w:val="both"/>
        <w:textAlignment w:val="auto"/>
        <w:rPr>
          <w:rFonts w:hint="eastAsia" w:ascii="黑体" w:hAnsi="黑体" w:eastAsia="黑体" w:cs="黑体"/>
          <w:kern w:val="2"/>
          <w:sz w:val="32"/>
          <w:szCs w:val="32"/>
          <w:u w:val="none" w:color="auto"/>
          <w:lang w:val="en-US" w:eastAsia="zh-CN"/>
          <w14:ligatures w14:val="standardContextual"/>
        </w:rPr>
      </w:pPr>
      <w:r>
        <w:rPr>
          <w:rFonts w:hint="eastAsia" w:ascii="黑体" w:hAnsi="黑体" w:eastAsia="黑体" w:cs="黑体"/>
          <w:kern w:val="2"/>
          <w:sz w:val="32"/>
          <w:szCs w:val="32"/>
          <w:u w:val="none" w:color="auto"/>
          <w:lang w:val="en-US" w:eastAsia="zh-CN"/>
          <w14:ligatures w14:val="standardContextual"/>
        </w:rPr>
        <w:t>一、背景</w:t>
      </w:r>
    </w:p>
    <w:p>
      <w:pPr>
        <w:pStyle w:val="8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firstLine="612" w:firstLineChars="200"/>
        <w:jc w:val="both"/>
        <w:textAlignment w:val="auto"/>
        <w:rPr>
          <w:rFonts w:hint="default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default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为进一步加强社会组织监督管理，规范社会组织行为，促进社会组织健康有序发展，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根据《</w:t>
      </w:r>
      <w:r>
        <w:rPr>
          <w:rFonts w:hint="default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广东省民政厅关于开展2023年全省性社会组织“双随机</w:t>
      </w:r>
      <w:r>
        <w:rPr>
          <w:rFonts w:hint="eastAsia" w:ascii="仿宋_GB2312" w:hAnsi="仿宋_GB2312" w:cs="仿宋_GB2312"/>
          <w:color w:val="000000"/>
          <w:kern w:val="0"/>
          <w:sz w:val="31"/>
          <w:szCs w:val="31"/>
          <w:lang w:val="en-US" w:eastAsia="zh-CN" w:bidi="ar"/>
        </w:rPr>
        <w:t>、</w:t>
      </w:r>
      <w:r>
        <w:rPr>
          <w:rFonts w:hint="default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一公开”抽查监督的通知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》《深圳市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双随机、一公开联席会议办公室关于进一步做好2023年部门联合“双随机、一公开”监管工作的通知》的有关要求，南山区民政局组织开展</w:t>
      </w:r>
      <w:r>
        <w:rPr>
          <w:rFonts w:hint="default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2023年度社会组织“双随机、一公开”抽查工作。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Autospacing="0" w:after="0" w:afterAutospacing="0" w:line="560" w:lineRule="exact"/>
        <w:ind w:firstLine="632" w:firstLineChars="200"/>
        <w:jc w:val="both"/>
        <w:textAlignment w:val="auto"/>
        <w:rPr>
          <w:rFonts w:hint="eastAsia" w:ascii="黑体" w:hAnsi="黑体" w:eastAsia="黑体" w:cs="黑体"/>
          <w:kern w:val="2"/>
          <w:sz w:val="32"/>
          <w:szCs w:val="32"/>
          <w:u w:val="none" w:color="auto"/>
          <w:lang w:val="en-US" w:eastAsia="zh-CN"/>
          <w14:ligatures w14:val="standardContextual"/>
        </w:rPr>
      </w:pPr>
      <w:r>
        <w:rPr>
          <w:rFonts w:hint="eastAsia" w:ascii="黑体" w:hAnsi="黑体" w:eastAsia="黑体" w:cs="黑体"/>
          <w:kern w:val="2"/>
          <w:sz w:val="32"/>
          <w:szCs w:val="32"/>
          <w:u w:val="none" w:color="auto"/>
          <w:lang w:val="en-US" w:eastAsia="zh-CN"/>
          <w14:ligatures w14:val="standardContextual"/>
        </w:rPr>
        <w:t>二、工作举措</w:t>
      </w:r>
    </w:p>
    <w:p>
      <w:pPr>
        <w:pStyle w:val="8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firstLine="612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pacing w:val="-3"/>
          <w:kern w:val="21"/>
          <w:sz w:val="32"/>
          <w:szCs w:val="22"/>
          <w:lang w:val="en-US" w:eastAsia="zh-CN" w:bidi="ar-SA"/>
        </w:rPr>
      </w:pPr>
      <w:r>
        <w:rPr>
          <w:rFonts w:hint="eastAsia" w:ascii="仿宋_GB2312" w:hAnsi="仿宋_GB2312" w:cs="仿宋_GB2312"/>
          <w:b/>
          <w:bCs/>
          <w:color w:val="000000"/>
          <w:kern w:val="0"/>
          <w:sz w:val="31"/>
          <w:szCs w:val="31"/>
          <w:lang w:val="en-US" w:eastAsia="zh-CN" w:bidi="ar"/>
        </w:rPr>
        <w:t>一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1"/>
          <w:szCs w:val="31"/>
          <w:lang w:val="en-US" w:eastAsia="zh-CN" w:bidi="ar"/>
        </w:rPr>
        <w:t>是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1"/>
          <w:szCs w:val="31"/>
          <w:lang w:val="en-US" w:eastAsia="zh-CN" w:bidi="ar"/>
        </w:rPr>
        <w:t>加强工作联动。</w:t>
      </w:r>
      <w:r>
        <w:rPr>
          <w:rFonts w:hint="eastAsia" w:ascii="仿宋_GB2312" w:hAnsi="仿宋_GB2312" w:cs="仿宋_GB2312"/>
          <w:color w:val="000000"/>
          <w:kern w:val="0"/>
          <w:sz w:val="31"/>
          <w:szCs w:val="31"/>
          <w:lang w:val="en-US" w:eastAsia="zh-CN" w:bidi="ar"/>
        </w:rPr>
        <w:t>会同</w:t>
      </w:r>
      <w:r>
        <w:rPr>
          <w:rFonts w:hint="eastAsia" w:ascii="仿宋_GB2312" w:hAnsi="仿宋_GB2312" w:eastAsia="仿宋_GB2312" w:cs="仿宋_GB2312"/>
          <w:color w:val="000000"/>
          <w:spacing w:val="-3"/>
          <w:kern w:val="21"/>
          <w:sz w:val="32"/>
          <w:szCs w:val="22"/>
          <w:lang w:val="en-US" w:eastAsia="zh-CN" w:bidi="ar-SA"/>
        </w:rPr>
        <w:t>人资局对深圳市学道职业培训中心、南山区六艺职业培训学校、南山区华必达培训学校</w:t>
      </w:r>
      <w:r>
        <w:rPr>
          <w:rFonts w:hint="eastAsia" w:ascii="仿宋_GB2312" w:hAnsi="仿宋_GB2312" w:cs="仿宋_GB2312"/>
          <w:color w:val="000000"/>
          <w:spacing w:val="-3"/>
          <w:kern w:val="21"/>
          <w:sz w:val="32"/>
          <w:szCs w:val="22"/>
          <w:lang w:val="en-US" w:eastAsia="zh-CN" w:bidi="ar-SA"/>
        </w:rPr>
        <w:t>等3家社会组织，</w:t>
      </w:r>
      <w:r>
        <w:rPr>
          <w:rFonts w:hint="eastAsia" w:ascii="仿宋_GB2312" w:hAnsi="仿宋_GB2312" w:eastAsia="仿宋_GB2312" w:cs="仿宋_GB2312"/>
          <w:color w:val="000000"/>
          <w:spacing w:val="-3"/>
          <w:kern w:val="21"/>
          <w:sz w:val="32"/>
          <w:szCs w:val="22"/>
          <w:lang w:val="en-US" w:eastAsia="zh-CN" w:bidi="ar-SA"/>
        </w:rPr>
        <w:t>开展社会组织资金运作、内部治理、业务活动等情况的联合检查。</w:t>
      </w:r>
    </w:p>
    <w:p>
      <w:pPr>
        <w:pStyle w:val="8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firstLine="62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pacing w:val="-3"/>
          <w:kern w:val="21"/>
          <w:sz w:val="32"/>
          <w:szCs w:val="2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pacing w:val="-3"/>
          <w:kern w:val="21"/>
          <w:sz w:val="32"/>
          <w:szCs w:val="22"/>
          <w:lang w:val="en-US" w:eastAsia="zh-CN" w:bidi="ar-SA"/>
        </w:rPr>
        <w:t>二是</w:t>
      </w:r>
      <w:r>
        <w:rPr>
          <w:rFonts w:hint="eastAsia" w:ascii="仿宋_GB2312" w:hAnsi="仿宋_GB2312" w:cs="仿宋_GB2312"/>
          <w:color w:val="000000"/>
          <w:spacing w:val="-3"/>
          <w:kern w:val="21"/>
          <w:sz w:val="32"/>
          <w:szCs w:val="22"/>
          <w:lang w:val="en-US" w:eastAsia="zh-CN" w:bidi="ar-SA"/>
        </w:rPr>
        <w:t>试行阳光执法</w:t>
      </w:r>
      <w:r>
        <w:rPr>
          <w:rFonts w:hint="eastAsia" w:ascii="仿宋_GB2312" w:hAnsi="仿宋_GB2312" w:eastAsia="仿宋_GB2312" w:cs="仿宋_GB2312"/>
          <w:color w:val="000000"/>
          <w:spacing w:val="-3"/>
          <w:kern w:val="21"/>
          <w:sz w:val="32"/>
          <w:szCs w:val="22"/>
          <w:lang w:val="en-US" w:eastAsia="zh-CN" w:bidi="ar-SA"/>
        </w:rPr>
        <w:t>。</w:t>
      </w:r>
      <w:r>
        <w:rPr>
          <w:rFonts w:hint="eastAsia" w:ascii="仿宋_GB2312" w:hAnsi="仿宋_GB2312" w:cs="仿宋_GB2312"/>
          <w:color w:val="000000"/>
          <w:spacing w:val="-3"/>
          <w:kern w:val="21"/>
          <w:sz w:val="32"/>
          <w:szCs w:val="22"/>
          <w:lang w:val="en-US" w:eastAsia="zh-CN" w:bidi="ar-SA"/>
        </w:rPr>
        <w:t>出台</w:t>
      </w:r>
      <w:r>
        <w:rPr>
          <w:rFonts w:hint="eastAsia" w:ascii="仿宋_GB2312" w:hAnsi="仿宋_GB2312" w:eastAsia="仿宋_GB2312" w:cs="仿宋_GB2312"/>
          <w:color w:val="000000"/>
          <w:spacing w:val="-3"/>
          <w:kern w:val="21"/>
          <w:sz w:val="32"/>
          <w:szCs w:val="22"/>
          <w:lang w:val="en-US" w:eastAsia="zh-CN" w:bidi="ar-SA"/>
        </w:rPr>
        <w:t>《2023年南山区社会组织廉洁合规建设专项行动方案》</w:t>
      </w:r>
      <w:r>
        <w:rPr>
          <w:rFonts w:hint="eastAsia" w:ascii="仿宋_GB2312" w:hAnsi="仿宋_GB2312" w:cs="仿宋_GB2312"/>
          <w:color w:val="000000"/>
          <w:spacing w:val="-3"/>
          <w:kern w:val="21"/>
          <w:sz w:val="32"/>
          <w:szCs w:val="22"/>
          <w:lang w:val="en-US" w:eastAsia="zh-CN" w:bidi="ar-SA"/>
        </w:rPr>
        <w:t>，</w:t>
      </w:r>
      <w:r>
        <w:rPr>
          <w:rFonts w:hint="eastAsia" w:ascii="仿宋_GB2312" w:hAnsi="仿宋_GB2312" w:eastAsia="仿宋_GB2312" w:cs="仿宋_GB2312"/>
          <w:color w:val="000000"/>
          <w:spacing w:val="-3"/>
          <w:kern w:val="21"/>
          <w:sz w:val="32"/>
          <w:szCs w:val="22"/>
          <w:lang w:val="en-US" w:eastAsia="zh-CN" w:bidi="ar-SA"/>
        </w:rPr>
        <w:t>邀请党代表、人大代表、政协委员</w:t>
      </w:r>
      <w:r>
        <w:rPr>
          <w:rFonts w:hint="eastAsia" w:ascii="仿宋_GB2312" w:hAnsi="仿宋_GB2312" w:cs="仿宋_GB2312"/>
          <w:color w:val="000000"/>
          <w:spacing w:val="-3"/>
          <w:kern w:val="21"/>
          <w:sz w:val="32"/>
          <w:szCs w:val="22"/>
          <w:lang w:val="en-US" w:eastAsia="zh-CN" w:bidi="ar-SA"/>
        </w:rPr>
        <w:t>，</w:t>
      </w:r>
      <w:r>
        <w:rPr>
          <w:rFonts w:hint="eastAsia" w:ascii="仿宋_GB2312" w:hAnsi="仿宋_GB2312" w:eastAsia="仿宋_GB2312" w:cs="仿宋_GB2312"/>
          <w:color w:val="000000"/>
          <w:spacing w:val="-3"/>
          <w:kern w:val="21"/>
          <w:sz w:val="32"/>
          <w:szCs w:val="22"/>
          <w:lang w:val="en-US" w:eastAsia="zh-CN" w:bidi="ar-SA"/>
        </w:rPr>
        <w:t>监督</w:t>
      </w:r>
      <w:r>
        <w:rPr>
          <w:rFonts w:hint="eastAsia" w:ascii="仿宋_GB2312" w:hAnsi="仿宋_GB2312" w:cs="仿宋_GB2312"/>
          <w:color w:val="000000"/>
          <w:spacing w:val="-3"/>
          <w:kern w:val="21"/>
          <w:sz w:val="32"/>
          <w:szCs w:val="22"/>
          <w:lang w:val="en-US" w:eastAsia="zh-CN" w:bidi="ar-SA"/>
        </w:rPr>
        <w:t>执法人员对</w:t>
      </w:r>
      <w:r>
        <w:rPr>
          <w:rFonts w:hint="eastAsia" w:ascii="仿宋_GB2312" w:hAnsi="仿宋_GB2312" w:eastAsia="仿宋_GB2312" w:cs="仿宋_GB2312"/>
          <w:color w:val="000000"/>
          <w:spacing w:val="-3"/>
          <w:kern w:val="21"/>
          <w:sz w:val="32"/>
          <w:szCs w:val="22"/>
          <w:lang w:val="en-US" w:eastAsia="zh-CN" w:bidi="ar-SA"/>
        </w:rPr>
        <w:t>深圳市启明幼儿园、南山区长跑协会、南山区交通安全理事会</w:t>
      </w:r>
      <w:r>
        <w:rPr>
          <w:rFonts w:hint="eastAsia" w:ascii="仿宋_GB2312" w:hAnsi="仿宋_GB2312" w:cs="仿宋_GB2312"/>
          <w:color w:val="000000"/>
          <w:spacing w:val="-3"/>
          <w:kern w:val="21"/>
          <w:sz w:val="32"/>
          <w:szCs w:val="22"/>
          <w:lang w:val="en-US" w:eastAsia="zh-CN" w:bidi="ar-SA"/>
        </w:rPr>
        <w:t>等3家社会组织开展执法检查</w:t>
      </w:r>
      <w:r>
        <w:rPr>
          <w:rFonts w:hint="eastAsia" w:ascii="仿宋_GB2312" w:hAnsi="仿宋_GB2312" w:eastAsia="仿宋_GB2312" w:cs="仿宋_GB2312"/>
          <w:color w:val="000000"/>
          <w:spacing w:val="-3"/>
          <w:kern w:val="21"/>
          <w:sz w:val="32"/>
          <w:szCs w:val="22"/>
          <w:lang w:val="en-US" w:eastAsia="zh-CN" w:bidi="ar-SA"/>
        </w:rPr>
        <w:t>，对执法程序、执法行为进行指导。</w:t>
      </w:r>
    </w:p>
    <w:p>
      <w:pPr>
        <w:pStyle w:val="8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firstLine="612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24"/>
          <w:u w:val="single" w:color="FFFFFF"/>
          <w:lang w:val="en-US" w:eastAsia="zh-CN" w:bidi="ar-SA"/>
        </w:rPr>
      </w:pPr>
      <w:r>
        <w:rPr>
          <w:rFonts w:hint="eastAsia" w:ascii="仿宋_GB2312" w:hAnsi="仿宋_GB2312" w:cs="仿宋_GB2312"/>
          <w:b/>
          <w:bCs/>
          <w:color w:val="000000"/>
          <w:kern w:val="0"/>
          <w:sz w:val="31"/>
          <w:szCs w:val="31"/>
          <w:lang w:val="en-US" w:eastAsia="zh-CN" w:bidi="ar"/>
        </w:rPr>
        <w:t>三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1"/>
          <w:szCs w:val="31"/>
          <w:lang w:val="en-US" w:eastAsia="zh-CN" w:bidi="ar"/>
        </w:rPr>
        <w:t>是</w:t>
      </w:r>
      <w:r>
        <w:rPr>
          <w:rFonts w:hint="eastAsia" w:ascii="仿宋_GB2312" w:hAnsi="仿宋_GB2312" w:cs="仿宋_GB2312"/>
          <w:kern w:val="2"/>
          <w:sz w:val="32"/>
          <w:szCs w:val="24"/>
          <w:u w:val="single" w:color="FFFFFF"/>
          <w:lang w:val="en-US" w:eastAsia="zh-CN" w:bidi="ar-SA"/>
        </w:rPr>
        <w:t>实行</w:t>
      </w:r>
      <w:r>
        <w:rPr>
          <w:rFonts w:hint="eastAsia" w:ascii="仿宋_GB2312" w:hAnsi="仿宋_GB2312" w:eastAsia="仿宋_GB2312" w:cs="仿宋_GB2312"/>
          <w:kern w:val="2"/>
          <w:sz w:val="32"/>
          <w:szCs w:val="24"/>
          <w:u w:val="single" w:color="FFFFFF"/>
          <w:lang w:val="en-US" w:eastAsia="zh-CN" w:bidi="ar-SA"/>
        </w:rPr>
        <w:t>全面</w:t>
      </w:r>
      <w:r>
        <w:rPr>
          <w:rFonts w:hint="eastAsia" w:ascii="仿宋_GB2312" w:hAnsi="仿宋_GB2312" w:cs="仿宋_GB2312"/>
          <w:kern w:val="2"/>
          <w:sz w:val="32"/>
          <w:szCs w:val="24"/>
          <w:u w:val="single" w:color="FFFFFF"/>
          <w:lang w:val="en-US" w:eastAsia="zh-CN" w:bidi="ar-SA"/>
        </w:rPr>
        <w:t>检查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。</w:t>
      </w:r>
      <w:r>
        <w:rPr>
          <w:rFonts w:hint="eastAsia" w:ascii="仿宋_GB2312" w:hAnsi="仿宋_GB2312" w:eastAsia="仿宋_GB2312" w:cs="仿宋_GB2312"/>
          <w:kern w:val="2"/>
          <w:sz w:val="32"/>
          <w:szCs w:val="24"/>
          <w:u w:val="single" w:color="FFFFFF"/>
          <w:lang w:val="en-US" w:eastAsia="zh-CN" w:bidi="ar-SA"/>
        </w:rPr>
        <w:t>将年度工作报告、党建工作、业务活动、举办论坛等活动、制度制定和执行、收费、分支（代表）机构管理、社会组织履行重大事项报告义务等情况列入年度检查重点</w:t>
      </w:r>
      <w:r>
        <w:rPr>
          <w:rFonts w:hint="eastAsia" w:ascii="仿宋_GB2312" w:hAnsi="仿宋_GB2312" w:cs="仿宋_GB2312"/>
          <w:kern w:val="2"/>
          <w:sz w:val="32"/>
          <w:szCs w:val="24"/>
          <w:u w:val="single" w:color="FFFFFF"/>
          <w:lang w:val="en-US" w:eastAsia="zh-CN" w:bidi="ar-SA"/>
        </w:rPr>
        <w:t>。同时，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与行业协会商会乱收费整治专项工作结合开展，</w:t>
      </w:r>
      <w:r>
        <w:rPr>
          <w:rFonts w:hint="eastAsia" w:ascii="仿宋_GB2312" w:hAnsi="仿宋_GB2312" w:cs="仿宋_GB2312"/>
          <w:color w:val="000000"/>
          <w:kern w:val="0"/>
          <w:sz w:val="31"/>
          <w:szCs w:val="31"/>
          <w:lang w:val="en-US" w:eastAsia="zh-CN" w:bidi="ar"/>
        </w:rPr>
        <w:t>在检查过程中，</w:t>
      </w:r>
      <w:r>
        <w:rPr>
          <w:rFonts w:hint="eastAsia" w:ascii="仿宋_GB2312" w:hAnsi="仿宋_GB2312" w:eastAsia="仿宋_GB2312" w:cs="仿宋_GB2312"/>
          <w:kern w:val="2"/>
          <w:sz w:val="32"/>
          <w:szCs w:val="24"/>
          <w:u w:val="single" w:color="FFFFFF"/>
          <w:lang w:val="en-US" w:eastAsia="zh-CN" w:bidi="ar-SA"/>
        </w:rPr>
        <w:t>对照15项整治重点内容，</w:t>
      </w:r>
      <w:r>
        <w:rPr>
          <w:rFonts w:hint="eastAsia" w:ascii="仿宋_GB2312" w:hAnsi="仿宋_GB2312" w:cs="仿宋_GB2312"/>
          <w:kern w:val="2"/>
          <w:sz w:val="32"/>
          <w:szCs w:val="24"/>
          <w:u w:val="single" w:color="FFFFFF"/>
          <w:lang w:val="en-US" w:eastAsia="zh-CN" w:bidi="ar-SA"/>
        </w:rPr>
        <w:t>重点</w:t>
      </w:r>
      <w:r>
        <w:rPr>
          <w:rFonts w:hint="eastAsia" w:ascii="仿宋_GB2312" w:hAnsi="仿宋_GB2312" w:eastAsia="仿宋_GB2312" w:cs="仿宋_GB2312"/>
          <w:kern w:val="2"/>
          <w:sz w:val="32"/>
          <w:szCs w:val="24"/>
          <w:u w:val="single" w:color="FFFFFF"/>
          <w:lang w:val="en-US" w:eastAsia="zh-CN" w:bidi="ar-SA"/>
        </w:rPr>
        <w:t>摸底排查行业协会商会是否涉及违法违规收费问题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Autospacing="0" w:after="0" w:afterAutospacing="0" w:line="560" w:lineRule="exact"/>
        <w:ind w:firstLine="632" w:firstLineChars="200"/>
        <w:jc w:val="both"/>
        <w:textAlignment w:val="auto"/>
        <w:rPr>
          <w:rFonts w:hint="eastAsia" w:ascii="黑体" w:hAnsi="黑体" w:eastAsia="黑体" w:cs="黑体"/>
          <w:kern w:val="2"/>
          <w:sz w:val="32"/>
          <w:szCs w:val="32"/>
          <w:u w:val="none" w:color="auto"/>
          <w:lang w:val="en-US" w:eastAsia="zh-CN"/>
          <w14:ligatures w14:val="standardContextual"/>
        </w:rPr>
      </w:pPr>
      <w:r>
        <w:rPr>
          <w:rFonts w:hint="eastAsia" w:ascii="黑体" w:hAnsi="黑体" w:eastAsia="黑体" w:cs="黑体"/>
          <w:kern w:val="2"/>
          <w:sz w:val="32"/>
          <w:szCs w:val="32"/>
          <w:u w:val="none" w:color="auto"/>
          <w:lang w:val="en-US" w:eastAsia="zh-CN"/>
          <w14:ligatures w14:val="standardContextual"/>
        </w:rPr>
        <w:t>三、取得成效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32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40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40"/>
          <w:lang w:val="en-US" w:eastAsia="zh-CN" w:bidi="ar-SA"/>
        </w:rPr>
        <w:t>一是</w:t>
      </w:r>
      <w:r>
        <w:rPr>
          <w:rFonts w:hint="eastAsia" w:ascii="仿宋_GB2312" w:hAnsi="仿宋_GB2312" w:eastAsia="仿宋_GB2312" w:cs="仿宋_GB2312"/>
          <w:kern w:val="2"/>
          <w:sz w:val="32"/>
          <w:szCs w:val="40"/>
          <w:lang w:val="en-US" w:eastAsia="zh-CN" w:bidi="ar-SA"/>
        </w:rPr>
        <w:t>集中力量提高执法效率。联合执法将民政局和人资局的力量集中起来，</w:t>
      </w:r>
      <w:r>
        <w:rPr>
          <w:rFonts w:hint="eastAsia" w:ascii="仿宋_GB2312" w:hAnsi="仿宋_GB2312" w:cs="仿宋_GB2312"/>
          <w:kern w:val="2"/>
          <w:sz w:val="32"/>
          <w:szCs w:val="40"/>
          <w:lang w:val="en-US" w:eastAsia="zh-CN" w:bidi="ar-SA"/>
        </w:rPr>
        <w:t>于</w:t>
      </w:r>
      <w:r>
        <w:rPr>
          <w:rFonts w:hint="eastAsia" w:ascii="仿宋_GB2312" w:hAnsi="仿宋_GB2312" w:eastAsia="仿宋_GB2312" w:cs="仿宋_GB2312"/>
          <w:kern w:val="2"/>
          <w:sz w:val="32"/>
          <w:szCs w:val="40"/>
          <w:lang w:val="en-US" w:eastAsia="zh-CN" w:bidi="ar-SA"/>
        </w:rPr>
        <w:t>同一时间、针对同一执法对象开展联合检查、调查,实现执法信息共享、结果互认，减少多头重复执法，防止执法扰民</w:t>
      </w:r>
      <w:r>
        <w:rPr>
          <w:rFonts w:hint="eastAsia" w:ascii="仿宋_GB2312" w:hAnsi="仿宋_GB2312" w:cs="仿宋_GB2312"/>
          <w:kern w:val="2"/>
          <w:sz w:val="32"/>
          <w:szCs w:val="40"/>
          <w:lang w:val="en-US" w:eastAsia="zh-CN" w:bidi="ar-SA"/>
        </w:rPr>
        <w:t>，</w:t>
      </w:r>
      <w:r>
        <w:rPr>
          <w:rFonts w:hint="eastAsia" w:ascii="仿宋_GB2312" w:hAnsi="仿宋_GB2312" w:eastAsia="仿宋_GB2312" w:cs="仿宋_GB2312"/>
          <w:kern w:val="2"/>
          <w:sz w:val="32"/>
          <w:szCs w:val="40"/>
          <w:lang w:val="en-US" w:eastAsia="zh-CN" w:bidi="ar-SA"/>
        </w:rPr>
        <w:t>提高执法检查工作效率；合并</w:t>
      </w:r>
      <w:r>
        <w:rPr>
          <w:rFonts w:hint="eastAsia" w:ascii="仿宋_GB2312" w:hAnsi="仿宋_GB2312" w:cs="仿宋_GB2312"/>
          <w:kern w:val="2"/>
          <w:sz w:val="32"/>
          <w:szCs w:val="40"/>
          <w:lang w:val="en-US" w:eastAsia="zh-CN" w:bidi="ar-SA"/>
        </w:rPr>
        <w:t>两个部门监管范畴，一次性</w:t>
      </w:r>
      <w:r>
        <w:rPr>
          <w:rFonts w:hint="eastAsia" w:ascii="仿宋_GB2312" w:hAnsi="仿宋_GB2312" w:eastAsia="仿宋_GB2312" w:cs="仿宋_GB2312"/>
          <w:kern w:val="2"/>
          <w:sz w:val="32"/>
          <w:szCs w:val="40"/>
          <w:lang w:val="en-US" w:eastAsia="zh-CN" w:bidi="ar-SA"/>
        </w:rPr>
        <w:t>检查范围覆盖</w:t>
      </w:r>
      <w:r>
        <w:rPr>
          <w:rFonts w:hint="eastAsia" w:ascii="仿宋_GB2312" w:hAnsi="仿宋_GB2312" w:cs="仿宋_GB2312"/>
          <w:kern w:val="2"/>
          <w:sz w:val="32"/>
          <w:szCs w:val="40"/>
          <w:lang w:val="en-US" w:eastAsia="zh-CN" w:bidi="ar-SA"/>
        </w:rPr>
        <w:t>重点</w:t>
      </w:r>
      <w:r>
        <w:rPr>
          <w:rFonts w:hint="eastAsia" w:ascii="仿宋_GB2312" w:hAnsi="仿宋_GB2312" w:eastAsia="仿宋_GB2312" w:cs="仿宋_GB2312"/>
          <w:kern w:val="2"/>
          <w:sz w:val="32"/>
          <w:szCs w:val="40"/>
          <w:lang w:val="en-US" w:eastAsia="zh-CN" w:bidi="ar-SA"/>
        </w:rPr>
        <w:t>更为广泛、全面，通过查漏补缺，共同强化执法力度。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32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40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40"/>
          <w:lang w:val="en-US" w:eastAsia="zh-CN" w:bidi="ar-SA"/>
        </w:rPr>
        <w:t>二是</w:t>
      </w:r>
      <w:r>
        <w:rPr>
          <w:rFonts w:hint="eastAsia" w:ascii="仿宋_GB2312" w:hAnsi="仿宋_GB2312" w:cs="仿宋_GB2312"/>
          <w:b w:val="0"/>
          <w:bCs w:val="0"/>
          <w:kern w:val="2"/>
          <w:sz w:val="32"/>
          <w:szCs w:val="40"/>
          <w:lang w:val="en-US" w:eastAsia="zh-CN" w:bidi="ar-SA"/>
        </w:rPr>
        <w:t>多方监督提高执法公信力。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40"/>
          <w:lang w:val="en-US" w:eastAsia="zh-CN" w:bidi="ar-SA"/>
        </w:rPr>
        <w:t>通</w:t>
      </w:r>
      <w:r>
        <w:rPr>
          <w:rFonts w:hint="eastAsia" w:ascii="仿宋_GB2312" w:hAnsi="仿宋_GB2312" w:eastAsia="仿宋_GB2312" w:cs="仿宋_GB2312"/>
          <w:kern w:val="2"/>
          <w:sz w:val="32"/>
          <w:szCs w:val="40"/>
          <w:lang w:val="en-US" w:eastAsia="zh-CN" w:bidi="ar-SA"/>
        </w:rPr>
        <w:t>过阳光执法，监督人员站在第三方视角对执法过程提出了2条建议，进一步提高执法的规范化、科学性，提升依法行政水平；以透明阳光的执法过程，确保问题细节不遗漏、不放过，提高执法质量和执法公信力</w:t>
      </w:r>
      <w:r>
        <w:rPr>
          <w:rFonts w:hint="default" w:ascii="仿宋_GB2312" w:hAnsi="仿宋_GB2312" w:eastAsia="仿宋_GB2312" w:cs="仿宋_GB2312"/>
          <w:kern w:val="2"/>
          <w:sz w:val="32"/>
          <w:szCs w:val="40"/>
          <w:lang w:val="en-US" w:eastAsia="zh-CN" w:bidi="ar-SA"/>
        </w:rPr>
        <w:t>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32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pacing w:val="-3"/>
          <w:kern w:val="21"/>
          <w:sz w:val="32"/>
          <w:szCs w:val="2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40"/>
          <w:lang w:val="en-US" w:eastAsia="zh-CN" w:bidi="ar-SA"/>
        </w:rPr>
        <w:t>三是</w:t>
      </w:r>
      <w:r>
        <w:rPr>
          <w:rFonts w:hint="eastAsia" w:ascii="仿宋_GB2312" w:hAnsi="仿宋_GB2312" w:cs="仿宋_GB2312"/>
          <w:b w:val="0"/>
          <w:bCs w:val="0"/>
          <w:kern w:val="2"/>
          <w:sz w:val="32"/>
          <w:szCs w:val="40"/>
          <w:lang w:val="en-US" w:eastAsia="zh-CN" w:bidi="ar-SA"/>
        </w:rPr>
        <w:t>全面检查提升执法质效。对</w:t>
      </w:r>
      <w:r>
        <w:rPr>
          <w:rFonts w:hint="eastAsia" w:ascii="仿宋_GB2312" w:hAnsi="仿宋_GB2312" w:eastAsia="仿宋_GB2312" w:cs="仿宋_GB2312"/>
          <w:kern w:val="2"/>
          <w:sz w:val="32"/>
          <w:szCs w:val="40"/>
          <w:lang w:val="en-US" w:eastAsia="zh-CN" w:bidi="ar-SA"/>
        </w:rPr>
        <w:t>随机抽取的23家社会组织进行现场检查，并开展专项财务审计，督促发现问题的14家社会组织及时</w:t>
      </w:r>
      <w:r>
        <w:rPr>
          <w:rFonts w:hint="eastAsia" w:ascii="仿宋_GB2312" w:hAnsi="仿宋_GB2312" w:cs="仿宋_GB2312"/>
          <w:kern w:val="2"/>
          <w:sz w:val="32"/>
          <w:szCs w:val="40"/>
          <w:lang w:val="en-US" w:eastAsia="zh-CN" w:bidi="ar-SA"/>
        </w:rPr>
        <w:t>整改到位，</w:t>
      </w:r>
      <w:r>
        <w:rPr>
          <w:rFonts w:hint="default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随机抽查结果</w:t>
      </w:r>
      <w:r>
        <w:rPr>
          <w:rFonts w:hint="eastAsia" w:ascii="仿宋_GB2312" w:hAnsi="仿宋_GB2312" w:cs="仿宋_GB2312"/>
          <w:color w:val="000000"/>
          <w:kern w:val="0"/>
          <w:sz w:val="31"/>
          <w:szCs w:val="31"/>
          <w:lang w:val="en-US" w:eastAsia="zh-CN" w:bidi="ar"/>
        </w:rPr>
        <w:t>实现全面政务公开，</w:t>
      </w:r>
      <w:r>
        <w:rPr>
          <w:rFonts w:hint="default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加强了社会组织监督和服务管理，</w:t>
      </w:r>
      <w:r>
        <w:rPr>
          <w:rFonts w:hint="eastAsia" w:ascii="仿宋_GB2312" w:hAnsi="仿宋_GB2312" w:cs="仿宋_GB2312"/>
          <w:color w:val="000000"/>
          <w:kern w:val="0"/>
          <w:sz w:val="31"/>
          <w:szCs w:val="31"/>
          <w:lang w:val="en-US" w:eastAsia="zh-CN" w:bidi="ar"/>
        </w:rPr>
        <w:t>推动</w:t>
      </w:r>
      <w:r>
        <w:rPr>
          <w:rFonts w:hint="default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社会组织</w:t>
      </w:r>
      <w:r>
        <w:rPr>
          <w:rFonts w:hint="eastAsia" w:ascii="仿宋_GB2312" w:hAnsi="仿宋_GB2312" w:cs="仿宋_GB2312"/>
          <w:color w:val="000000"/>
          <w:kern w:val="0"/>
          <w:sz w:val="31"/>
          <w:szCs w:val="31"/>
          <w:lang w:val="en-US" w:eastAsia="zh-CN" w:bidi="ar"/>
        </w:rPr>
        <w:t>健康有序发展。</w:t>
      </w:r>
    </w:p>
    <w:sectPr>
      <w:footerReference r:id="rId5" w:type="default"/>
      <w:footerReference r:id="rId6" w:type="even"/>
      <w:pgSz w:w="11906" w:h="16838"/>
      <w:pgMar w:top="2098" w:right="1474" w:bottom="1984" w:left="1587" w:header="708" w:footer="1417" w:gutter="0"/>
      <w:pgNumType w:fmt="decimal"/>
      <w:cols w:space="0" w:num="1"/>
      <w:rtlGutter w:val="0"/>
      <w:docGrid w:type="linesAndChars" w:linePitch="579" w:charSpace="-8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ascii="楷体_GB2312" w:hAnsi="楷体_GB2312" w:eastAsia="楷体_GB2312" w:cs="楷体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楷体_GB2312" w:hAnsi="楷体_GB2312" w:eastAsia="楷体_GB2312" w:cs="楷体_GB2312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楷体_GB2312" w:hAnsi="楷体_GB2312" w:eastAsia="楷体_GB2312" w:cs="楷体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楷体_GB2312" w:hAnsi="楷体_GB2312" w:eastAsia="楷体_GB2312" w:cs="楷体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楷体_GB2312" w:hAnsi="楷体_GB2312" w:eastAsia="楷体_GB2312" w:cs="楷体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楷体_GB2312" w:hAnsi="楷体_GB2312" w:eastAsia="楷体_GB2312" w:cs="楷体_GB2312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楷体_GB2312" w:hAnsi="楷体_GB2312" w:eastAsia="楷体_GB2312" w:cs="楷体_GB2312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楷体_GB2312" w:hAnsi="楷体_GB2312" w:eastAsia="楷体_GB2312" w:cs="楷体_GB2312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ascii="楷体_GB2312" w:hAnsi="楷体_GB2312" w:eastAsia="楷体_GB2312" w:cs="楷体_GB2312"/>
                        <w:sz w:val="28"/>
                        <w:szCs w:val="28"/>
                      </w:rPr>
                    </w:pPr>
                    <w:r>
                      <w:rPr>
                        <w:rFonts w:hint="eastAsia" w:ascii="楷体_GB2312" w:hAnsi="楷体_GB2312" w:eastAsia="楷体_GB2312" w:cs="楷体_GB2312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楷体_GB2312" w:hAnsi="楷体_GB2312" w:eastAsia="楷体_GB2312" w:cs="楷体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楷体_GB2312" w:hAnsi="楷体_GB2312" w:eastAsia="楷体_GB2312" w:cs="楷体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楷体_GB2312" w:hAnsi="楷体_GB2312" w:eastAsia="楷体_GB2312" w:cs="楷体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楷体_GB2312" w:hAnsi="楷体_GB2312" w:eastAsia="楷体_GB2312" w:cs="楷体_GB2312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楷体_GB2312" w:hAnsi="楷体_GB2312" w:eastAsia="楷体_GB2312" w:cs="楷体_GB2312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楷体_GB2312" w:hAnsi="楷体_GB2312" w:eastAsia="楷体_GB2312" w:cs="楷体_GB2312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evenAndOddHeaders w:val="1"/>
  <w:drawingGridHorizontalSpacing w:val="158"/>
  <w:drawingGridVerticalSpacing w:val="29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50"/>
    <w:rsid w:val="00323B43"/>
    <w:rsid w:val="003D37D8"/>
    <w:rsid w:val="00426133"/>
    <w:rsid w:val="004358AB"/>
    <w:rsid w:val="008B7726"/>
    <w:rsid w:val="00D31D50"/>
    <w:rsid w:val="07D37D26"/>
    <w:rsid w:val="1F1F758C"/>
    <w:rsid w:val="1FFEAE6B"/>
    <w:rsid w:val="25790231"/>
    <w:rsid w:val="2F2FF795"/>
    <w:rsid w:val="3BBADD7E"/>
    <w:rsid w:val="3DEFC15B"/>
    <w:rsid w:val="3F9F0FF0"/>
    <w:rsid w:val="49844CFD"/>
    <w:rsid w:val="4FBD9062"/>
    <w:rsid w:val="56DDC266"/>
    <w:rsid w:val="5CAC0203"/>
    <w:rsid w:val="5EBF00F6"/>
    <w:rsid w:val="5F5FA529"/>
    <w:rsid w:val="5FE62627"/>
    <w:rsid w:val="5FF546EC"/>
    <w:rsid w:val="6A6D7CEE"/>
    <w:rsid w:val="6B3D2445"/>
    <w:rsid w:val="7493739A"/>
    <w:rsid w:val="75FF9F2D"/>
    <w:rsid w:val="79BB1FD6"/>
    <w:rsid w:val="7BF58905"/>
    <w:rsid w:val="7D7F5997"/>
    <w:rsid w:val="7DBF1D42"/>
    <w:rsid w:val="7DFB04BA"/>
    <w:rsid w:val="7E9D734B"/>
    <w:rsid w:val="7EEC0C4E"/>
    <w:rsid w:val="7FFF19C7"/>
    <w:rsid w:val="A5FE3AEF"/>
    <w:rsid w:val="BBE7536F"/>
    <w:rsid w:val="BDDF3629"/>
    <w:rsid w:val="BEF14546"/>
    <w:rsid w:val="BFBF6248"/>
    <w:rsid w:val="D235302F"/>
    <w:rsid w:val="D7FF26A9"/>
    <w:rsid w:val="E37FE7EA"/>
    <w:rsid w:val="E9F752CC"/>
    <w:rsid w:val="EF1D0616"/>
    <w:rsid w:val="F6FEBF06"/>
    <w:rsid w:val="F7EEBAE2"/>
    <w:rsid w:val="FEF91EFE"/>
    <w:rsid w:val="FF7F6503"/>
    <w:rsid w:val="FFAFFA8A"/>
    <w:rsid w:val="FFBFD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qFormat="1" w:unhideWhenUsed="0" w:uiPriority="0" w:semiHidden="0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仿宋_GB2312" w:cstheme="minorBidi"/>
      <w:sz w:val="32"/>
      <w:szCs w:val="22"/>
      <w:lang w:val="en-US" w:eastAsia="zh-CN" w:bidi="ar-SA"/>
    </w:rPr>
  </w:style>
  <w:style w:type="paragraph" w:styleId="5">
    <w:name w:val="heading 1"/>
    <w:basedOn w:val="1"/>
    <w:next w:val="1"/>
    <w:qFormat/>
    <w:uiPriority w:val="0"/>
    <w:pPr>
      <w:widowControl w:val="0"/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</w:style>
  <w:style w:type="paragraph" w:styleId="3">
    <w:name w:val="Body Text"/>
    <w:basedOn w:val="1"/>
    <w:next w:val="4"/>
    <w:qFormat/>
    <w:uiPriority w:val="0"/>
    <w:pPr>
      <w:spacing w:after="120"/>
    </w:pPr>
  </w:style>
  <w:style w:type="paragraph" w:styleId="4">
    <w:name w:val="toc 5"/>
    <w:basedOn w:val="1"/>
    <w:next w:val="1"/>
    <w:qFormat/>
    <w:uiPriority w:val="0"/>
    <w:pPr>
      <w:ind w:left="1680"/>
    </w:pPr>
    <w:rPr>
      <w:rFonts w:ascii="Times New Roman" w:hAnsi="Times New Roman" w:eastAsia="宋体" w:cs="Times New Roman"/>
      <w:sz w:val="30"/>
      <w:szCs w:val="24"/>
    </w:rPr>
  </w:style>
  <w:style w:type="paragraph" w:styleId="6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1">
    <w:name w:val="Emphasis"/>
    <w:basedOn w:val="10"/>
    <w:qFormat/>
    <w:uiPriority w:val="20"/>
    <w:rPr>
      <w:i/>
    </w:rPr>
  </w:style>
  <w:style w:type="paragraph" w:customStyle="1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1</Lines>
  <Paragraphs>1</Paragraphs>
  <TotalTime>29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2008-09-14T09:20:00Z</dcterms:created>
  <dc:creator>Administrator</dc:creator>
  <cp:lastModifiedBy>cb</cp:lastModifiedBy>
  <cp:lastPrinted>2023-12-08T15:25:00Z</cp:lastPrinted>
  <dcterms:modified xsi:type="dcterms:W3CDTF">2023-12-08T10:02:33Z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D6DA1C2276C54D6EAE7A1D7655FB32CA</vt:lpwstr>
  </property>
</Properties>
</file>