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rPr>
          <w:rFonts w:hint="eastAsia" w:ascii="黑体" w:hAnsi="黑体" w:eastAsia="黑体" w:cs="黑体"/>
          <w:color w:val="auto"/>
          <w:szCs w:val="32"/>
          <w:lang w:val="en-US" w:eastAsia="zh-CN"/>
        </w:rPr>
      </w:pPr>
      <w:r>
        <w:rPr>
          <w:rFonts w:hint="eastAsia" w:ascii="黑体" w:hAnsi="黑体" w:eastAsia="黑体" w:cs="黑体"/>
          <w:color w:val="auto"/>
          <w:szCs w:val="32"/>
          <w:lang w:eastAsia="zh-CN"/>
        </w:rPr>
        <w:t>附件</w:t>
      </w:r>
      <w:r>
        <w:rPr>
          <w:rFonts w:hint="eastAsia" w:ascii="黑体" w:hAnsi="黑体" w:eastAsia="黑体" w:cs="黑体"/>
          <w:color w:val="auto"/>
          <w:szCs w:val="32"/>
          <w:lang w:val="en-US" w:eastAsia="zh-CN"/>
        </w:rPr>
        <w:t>2</w:t>
      </w:r>
    </w:p>
    <w:p>
      <w:pPr>
        <w:pStyle w:val="2"/>
        <w:rPr>
          <w:rFonts w:hint="default" w:ascii="Times New Roman" w:hAnsi="Times New Roman" w:cs="Times New Roman"/>
          <w:color w:val="auto"/>
          <w:szCs w:val="32"/>
        </w:rPr>
      </w:pPr>
    </w:p>
    <w:p>
      <w:pPr>
        <w:rPr>
          <w:rFonts w:hint="default"/>
        </w:rPr>
      </w:pPr>
      <w:bookmarkStart w:id="79" w:name="_GoBack"/>
      <w:bookmarkEnd w:id="79"/>
    </w:p>
    <w:p>
      <w:pPr>
        <w:spacing w:line="560" w:lineRule="exact"/>
        <w:ind w:firstLine="0" w:firstLineChars="0"/>
        <w:rPr>
          <w:rFonts w:hint="default" w:ascii="Times New Roman" w:hAnsi="Times New Roman"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default" w:ascii="Times New Roman" w:hAnsi="Times New Roman" w:eastAsia="方正公文小标宋" w:cs="Times New Roman"/>
          <w:color w:val="auto"/>
          <w:sz w:val="56"/>
          <w:szCs w:val="56"/>
        </w:rPr>
      </w:pPr>
      <w:r>
        <w:rPr>
          <w:rFonts w:hint="default" w:ascii="Times New Roman" w:hAnsi="Times New Roman" w:eastAsia="方正公文小标宋" w:cs="Times New Roman"/>
          <w:color w:val="auto"/>
          <w:sz w:val="56"/>
          <w:szCs w:val="56"/>
        </w:rPr>
        <w:t>深圳市金融科技专项发展规划</w:t>
      </w: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方正小标宋_GBK" w:hAnsi="方正小标宋_GBK" w:eastAsia="方正小标宋_GBK" w:cs="方正小标宋_GBK"/>
          <w:color w:val="auto"/>
          <w:sz w:val="56"/>
          <w:szCs w:val="56"/>
        </w:rPr>
      </w:pPr>
      <w:r>
        <w:rPr>
          <w:rFonts w:hint="eastAsia" w:ascii="方正小标宋_GBK" w:hAnsi="方正小标宋_GBK" w:eastAsia="方正小标宋_GBK" w:cs="方正小标宋_GBK"/>
          <w:color w:val="auto"/>
          <w:sz w:val="56"/>
          <w:szCs w:val="56"/>
        </w:rPr>
        <w:t>（</w:t>
      </w:r>
      <w:r>
        <w:rPr>
          <w:rFonts w:hint="eastAsia" w:ascii="方正小标宋_GBK" w:hAnsi="方正小标宋_GBK" w:eastAsia="方正小标宋_GBK" w:cs="方正小标宋_GBK"/>
          <w:color w:val="auto"/>
          <w:sz w:val="56"/>
          <w:szCs w:val="56"/>
          <w:lang w:val="en-US" w:eastAsia="zh-CN"/>
        </w:rPr>
        <w:t>2022-2025年</w:t>
      </w:r>
      <w:r>
        <w:rPr>
          <w:rFonts w:hint="eastAsia" w:ascii="方正小标宋_GBK" w:hAnsi="方正小标宋_GBK" w:eastAsia="方正小标宋_GBK" w:cs="方正小标宋_GBK"/>
          <w:color w:val="auto"/>
          <w:sz w:val="56"/>
          <w:szCs w:val="56"/>
        </w:rPr>
        <w:t>）</w:t>
      </w:r>
    </w:p>
    <w:p>
      <w:pPr>
        <w:spacing w:line="560" w:lineRule="exact"/>
        <w:ind w:firstLine="0" w:firstLineChars="0"/>
        <w:jc w:val="center"/>
        <w:rPr>
          <w:rFonts w:hint="default" w:ascii="Times New Roman" w:hAnsi="Times New Roman" w:eastAsia="楷体" w:cs="Times New Roman"/>
          <w:color w:val="auto"/>
          <w:sz w:val="44"/>
          <w:szCs w:val="44"/>
        </w:rPr>
      </w:pPr>
    </w:p>
    <w:p>
      <w:pPr>
        <w:spacing w:line="560" w:lineRule="exact"/>
        <w:ind w:firstLine="0" w:firstLineChars="0"/>
        <w:jc w:val="center"/>
        <w:rPr>
          <w:rFonts w:hint="eastAsia" w:ascii="楷体_GB2312" w:hAnsi="楷体_GB2312" w:eastAsia="楷体_GB2312" w:cs="楷体_GB2312"/>
          <w:color w:val="auto"/>
          <w:sz w:val="44"/>
          <w:szCs w:val="44"/>
        </w:rPr>
      </w:pPr>
      <w:r>
        <w:rPr>
          <w:rFonts w:hint="eastAsia" w:ascii="楷体_GB2312" w:hAnsi="楷体_GB2312" w:eastAsia="楷体_GB2312" w:cs="楷体_GB2312"/>
          <w:color w:val="auto"/>
          <w:sz w:val="44"/>
          <w:szCs w:val="44"/>
        </w:rPr>
        <w:t>（公开征求意见稿）</w:t>
      </w:r>
    </w:p>
    <w:p>
      <w:pPr>
        <w:spacing w:line="560" w:lineRule="exact"/>
        <w:ind w:firstLine="0" w:firstLineChars="0"/>
        <w:jc w:val="center"/>
        <w:rPr>
          <w:rFonts w:hint="default" w:ascii="Times New Roman" w:hAnsi="Times New Roman" w:cs="Times New Roman"/>
          <w:color w:val="auto"/>
          <w:szCs w:val="32"/>
        </w:rPr>
      </w:pPr>
    </w:p>
    <w:p>
      <w:pPr>
        <w:spacing w:line="560" w:lineRule="exact"/>
        <w:ind w:firstLine="0" w:firstLineChars="0"/>
        <w:jc w:val="center"/>
        <w:rPr>
          <w:rFonts w:hint="default" w:ascii="Times New Roman" w:hAnsi="Times New Roman" w:cs="Times New Roman"/>
          <w:color w:val="auto"/>
          <w:szCs w:val="32"/>
        </w:rPr>
      </w:pPr>
    </w:p>
    <w:p>
      <w:pPr>
        <w:spacing w:line="560" w:lineRule="exact"/>
        <w:ind w:firstLine="0" w:firstLineChars="0"/>
        <w:jc w:val="center"/>
        <w:rPr>
          <w:rFonts w:hint="default" w:ascii="Times New Roman" w:hAnsi="Times New Roman" w:cs="Times New Roman"/>
          <w:color w:val="auto"/>
          <w:szCs w:val="32"/>
        </w:rPr>
      </w:pPr>
    </w:p>
    <w:p>
      <w:pPr>
        <w:spacing w:line="560" w:lineRule="exact"/>
        <w:ind w:firstLine="0" w:firstLineChars="0"/>
        <w:jc w:val="center"/>
        <w:rPr>
          <w:rFonts w:hint="default" w:ascii="Times New Roman" w:hAnsi="Times New Roman" w:cs="Times New Roman"/>
          <w:color w:val="auto"/>
          <w:szCs w:val="32"/>
        </w:rPr>
      </w:pPr>
    </w:p>
    <w:p>
      <w:pPr>
        <w:spacing w:line="560" w:lineRule="exact"/>
        <w:ind w:firstLine="0" w:firstLineChars="0"/>
        <w:jc w:val="center"/>
        <w:rPr>
          <w:rFonts w:hint="default" w:ascii="Times New Roman" w:hAnsi="Times New Roman" w:cs="Times New Roman"/>
          <w:color w:val="auto"/>
          <w:szCs w:val="32"/>
        </w:rPr>
      </w:pPr>
    </w:p>
    <w:p>
      <w:pPr>
        <w:spacing w:line="560" w:lineRule="exact"/>
        <w:ind w:firstLine="0" w:firstLineChars="0"/>
        <w:jc w:val="center"/>
        <w:rPr>
          <w:rFonts w:hint="default" w:ascii="Times New Roman" w:hAnsi="Times New Roman" w:cs="Times New Roman"/>
          <w:color w:val="auto"/>
          <w:szCs w:val="32"/>
        </w:rPr>
      </w:pPr>
    </w:p>
    <w:p>
      <w:pPr>
        <w:spacing w:line="560" w:lineRule="exact"/>
        <w:ind w:firstLine="0" w:firstLineChars="0"/>
        <w:jc w:val="center"/>
        <w:rPr>
          <w:rFonts w:hint="default" w:ascii="Times New Roman" w:hAnsi="Times New Roman" w:cs="Times New Roman"/>
          <w:color w:val="auto"/>
          <w:szCs w:val="32"/>
        </w:rPr>
      </w:pPr>
    </w:p>
    <w:p>
      <w:pPr>
        <w:spacing w:line="560" w:lineRule="exact"/>
        <w:ind w:firstLine="0" w:firstLineChars="0"/>
        <w:jc w:val="center"/>
        <w:rPr>
          <w:rFonts w:hint="default" w:ascii="Times New Roman" w:hAnsi="Times New Roman" w:cs="Times New Roman"/>
          <w:color w:val="auto"/>
          <w:szCs w:val="32"/>
        </w:rPr>
      </w:pPr>
    </w:p>
    <w:p>
      <w:pPr>
        <w:spacing w:line="560" w:lineRule="exact"/>
        <w:ind w:firstLine="0" w:firstLineChars="0"/>
        <w:jc w:val="center"/>
        <w:rPr>
          <w:rFonts w:hint="default" w:ascii="Times New Roman" w:hAnsi="Times New Roman" w:cs="Times New Roman"/>
          <w:color w:val="auto"/>
          <w:szCs w:val="32"/>
        </w:rPr>
      </w:pPr>
    </w:p>
    <w:p>
      <w:pPr>
        <w:spacing w:line="560" w:lineRule="exact"/>
        <w:ind w:firstLine="0" w:firstLineChars="0"/>
        <w:jc w:val="center"/>
        <w:rPr>
          <w:rFonts w:hint="default" w:ascii="Times New Roman" w:hAnsi="Times New Roman" w:cs="Times New Roman"/>
          <w:color w:val="auto"/>
          <w:szCs w:val="32"/>
        </w:rPr>
      </w:pPr>
    </w:p>
    <w:p>
      <w:pPr>
        <w:spacing w:line="560" w:lineRule="exact"/>
        <w:ind w:firstLine="0" w:firstLineChars="0"/>
        <w:jc w:val="center"/>
        <w:rPr>
          <w:rFonts w:hint="default" w:ascii="Times New Roman" w:hAnsi="Times New Roman" w:cs="Times New Roman"/>
          <w:color w:val="auto"/>
          <w:szCs w:val="32"/>
        </w:rPr>
      </w:pPr>
    </w:p>
    <w:p>
      <w:pPr>
        <w:spacing w:line="560" w:lineRule="exact"/>
        <w:ind w:firstLine="0" w:firstLineChars="0"/>
        <w:jc w:val="center"/>
        <w:rPr>
          <w:rFonts w:hint="default" w:ascii="Times New Roman" w:hAnsi="Times New Roman" w:cs="Times New Roman"/>
          <w:color w:val="auto"/>
          <w:szCs w:val="32"/>
        </w:rPr>
      </w:pPr>
    </w:p>
    <w:p>
      <w:pPr>
        <w:spacing w:line="560" w:lineRule="exact"/>
        <w:ind w:firstLine="0" w:firstLineChars="0"/>
        <w:jc w:val="center"/>
        <w:rPr>
          <w:rFonts w:hint="default" w:ascii="Times New Roman" w:hAnsi="Times New Roman" w:cs="Times New Roman"/>
          <w:color w:val="auto"/>
          <w:szCs w:val="32"/>
        </w:rPr>
      </w:pPr>
    </w:p>
    <w:p>
      <w:pPr>
        <w:spacing w:line="560" w:lineRule="exact"/>
        <w:ind w:firstLine="0" w:firstLineChars="0"/>
        <w:jc w:val="center"/>
        <w:rPr>
          <w:rFonts w:hint="default" w:ascii="Times New Roman" w:hAnsi="Times New Roman" w:cs="Times New Roman"/>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2</w:t>
      </w:r>
      <w:r>
        <w:rPr>
          <w:rFonts w:hint="default" w:ascii="Times New Roman" w:hAnsi="Times New Roman" w:cs="Times New Roman"/>
          <w:color w:val="auto"/>
          <w:szCs w:val="32"/>
        </w:rPr>
        <w:t>年</w:t>
      </w:r>
      <w:r>
        <w:rPr>
          <w:rFonts w:hint="eastAsia" w:ascii="Times New Roman" w:hAnsi="Times New Roman" w:cs="Times New Roman"/>
          <w:color w:val="auto"/>
          <w:szCs w:val="32"/>
          <w:lang w:val="en-US" w:eastAsia="zh-CN"/>
        </w:rPr>
        <w:t>9</w:t>
      </w:r>
      <w:r>
        <w:rPr>
          <w:rFonts w:hint="default" w:ascii="Times New Roman" w:hAnsi="Times New Roman" w:cs="Times New Roman"/>
          <w:color w:val="auto"/>
          <w:szCs w:val="32"/>
        </w:rPr>
        <w:t>月</w:t>
      </w:r>
    </w:p>
    <w:p>
      <w:pPr>
        <w:spacing w:line="560" w:lineRule="exact"/>
        <w:rPr>
          <w:rFonts w:hint="default" w:ascii="Times New Roman" w:hAnsi="Times New Roman" w:cs="Times New Roman"/>
          <w:color w:val="auto"/>
          <w:szCs w:val="32"/>
        </w:rPr>
      </w:pPr>
    </w:p>
    <w:p>
      <w:pPr>
        <w:spacing w:line="560" w:lineRule="exact"/>
        <w:ind w:left="0" w:leftChars="0" w:firstLine="0" w:firstLineChars="0"/>
        <w:jc w:val="center"/>
        <w:rPr>
          <w:rFonts w:hint="default" w:ascii="Times New Roman" w:hAnsi="Times New Roman" w:eastAsia="方正公文小标宋" w:cs="Times New Roman"/>
          <w:color w:val="auto"/>
          <w:sz w:val="36"/>
          <w:szCs w:val="36"/>
        </w:rPr>
        <w:sectPr>
          <w:footerReference r:id="rId5" w:type="default"/>
          <w:footerReference r:id="rId6" w:type="even"/>
          <w:pgSz w:w="11906" w:h="16838"/>
          <w:pgMar w:top="1984" w:right="1474" w:bottom="1417" w:left="1587" w:header="1361" w:footer="850" w:gutter="0"/>
          <w:pgNumType w:fmt="decimal" w:start="1"/>
          <w:cols w:space="0" w:num="1"/>
          <w:rtlGutter w:val="0"/>
          <w:docGrid w:type="lines" w:linePitch="435" w:charSpace="0"/>
        </w:sectPr>
      </w:pPr>
    </w:p>
    <w:p>
      <w:pPr>
        <w:pStyle w:val="2"/>
        <w:rPr>
          <w:rFonts w:hint="default"/>
        </w:rPr>
      </w:pPr>
    </w:p>
    <w:p>
      <w:pPr>
        <w:spacing w:line="560" w:lineRule="exact"/>
        <w:ind w:left="0" w:leftChars="0" w:firstLine="0" w:firstLineChars="0"/>
        <w:jc w:val="center"/>
        <w:rPr>
          <w:rFonts w:hint="default" w:ascii="Times New Roman" w:hAnsi="Times New Roman" w:eastAsia="方正公文小标宋" w:cs="Times New Roman"/>
          <w:color w:val="auto"/>
          <w:sz w:val="36"/>
          <w:szCs w:val="36"/>
        </w:rPr>
      </w:pPr>
      <w:r>
        <w:rPr>
          <w:rFonts w:hint="default" w:ascii="Times New Roman" w:hAnsi="Times New Roman" w:eastAsia="方正公文小标宋" w:cs="Times New Roman"/>
          <w:color w:val="auto"/>
          <w:sz w:val="36"/>
          <w:szCs w:val="36"/>
        </w:rPr>
        <w:t>前</w:t>
      </w:r>
      <w:r>
        <w:rPr>
          <w:rFonts w:hint="eastAsia" w:ascii="Times New Roman" w:hAnsi="Times New Roman" w:eastAsia="方正公文小标宋" w:cs="Times New Roman"/>
          <w:color w:val="auto"/>
          <w:sz w:val="36"/>
          <w:szCs w:val="36"/>
          <w:lang w:val="en-US" w:eastAsia="zh-CN"/>
        </w:rPr>
        <w:t xml:space="preserve"> </w:t>
      </w:r>
      <w:r>
        <w:rPr>
          <w:rFonts w:hint="default" w:ascii="Times New Roman" w:hAnsi="Times New Roman" w:eastAsia="方正公文小标宋" w:cs="Times New Roman"/>
          <w:color w:val="auto"/>
          <w:sz w:val="36"/>
          <w:szCs w:val="36"/>
        </w:rPr>
        <w:t>言</w:t>
      </w:r>
    </w:p>
    <w:p>
      <w:pPr>
        <w:spacing w:line="560" w:lineRule="exact"/>
        <w:ind w:firstLine="640" w:firstLineChars="200"/>
        <w:rPr>
          <w:rFonts w:hint="default" w:ascii="Times New Roman" w:hAnsi="Times New Roman" w:cs="Times New Roman"/>
          <w:color w:val="auto"/>
          <w:szCs w:val="32"/>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金融科技作为金融与科技深度融合的产物，正日益成为数字化时代全球金融创新和金融竞争的制高点。当前</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金融科技行业迅速崛起</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展现出良好的势头，成为推动经济高质量发展的强劲力量。深圳正依托科技创新推动金融高质量发展，不断提升金融科技水平，健全金融科技生态。</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44"/>
          <w:szCs w:val="32"/>
        </w:rPr>
      </w:pPr>
      <w:r>
        <w:rPr>
          <w:rFonts w:hint="eastAsia" w:ascii="仿宋_GB2312" w:hAnsi="仿宋_GB2312" w:eastAsia="仿宋_GB2312" w:cs="仿宋_GB2312"/>
          <w:color w:val="auto"/>
          <w:szCs w:val="32"/>
        </w:rPr>
        <w:t>为践行新发展理念，</w:t>
      </w:r>
      <w:r>
        <w:rPr>
          <w:rFonts w:hint="eastAsia" w:ascii="仿宋_GB2312" w:hAnsi="仿宋_GB2312" w:eastAsia="仿宋_GB2312" w:cs="仿宋_GB2312"/>
          <w:color w:val="auto"/>
          <w:kern w:val="44"/>
          <w:szCs w:val="32"/>
        </w:rPr>
        <w:t>努力打造创新驱动发展的现代化经济体系典范，助力深圳</w:t>
      </w:r>
      <w:r>
        <w:rPr>
          <w:rFonts w:hint="eastAsia" w:ascii="仿宋_GB2312" w:hAnsi="仿宋_GB2312" w:eastAsia="仿宋_GB2312" w:cs="仿宋_GB2312"/>
          <w:color w:val="auto"/>
          <w:szCs w:val="32"/>
        </w:rPr>
        <w:t>建设全球金融科技中心</w:t>
      </w:r>
      <w:r>
        <w:rPr>
          <w:rFonts w:hint="eastAsia" w:ascii="仿宋_GB2312" w:hAnsi="仿宋_GB2312" w:eastAsia="仿宋_GB2312" w:cs="仿宋_GB2312"/>
          <w:color w:val="auto"/>
          <w:kern w:val="44"/>
          <w:szCs w:val="32"/>
        </w:rPr>
        <w:t>，根据《粤港澳大湾区发展规划纲要》《中共中央 国务院关于支持深圳建设中国特色社会主义先行示范区的意见》《深圳建设中国特色社会主义先行示范区综合改革试点实施方案（2020-2025年）》</w:t>
      </w:r>
      <w:r>
        <w:rPr>
          <w:rFonts w:hint="eastAsia" w:ascii="仿宋_GB2312" w:hAnsi="仿宋_GB2312" w:eastAsia="仿宋_GB2312" w:cs="仿宋_GB2312"/>
          <w:color w:val="auto"/>
          <w:szCs w:val="32"/>
        </w:rPr>
        <w:t>《中华人民共和国国民经济和社会发展第十四个五年规划和2035年远景目标纲要》</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中国人民银行《金融科技发展规划（2022—2025年）》（银发〔2021〕335号文印发）以及</w:t>
      </w:r>
      <w:r>
        <w:rPr>
          <w:rFonts w:hint="eastAsia" w:cs="仿宋_GB2312"/>
          <w:color w:val="auto"/>
          <w:szCs w:val="32"/>
          <w:lang w:eastAsia="zh-CN"/>
        </w:rPr>
        <w:t>《</w:t>
      </w:r>
      <w:r>
        <w:rPr>
          <w:rFonts w:hint="eastAsia" w:ascii="仿宋_GB2312" w:hAnsi="仿宋_GB2312" w:eastAsia="仿宋_GB2312" w:cs="仿宋_GB2312"/>
          <w:color w:val="auto"/>
          <w:szCs w:val="32"/>
        </w:rPr>
        <w:t>深圳市国民经济和社会发展第十四个五年规划和二〇三五年远景目标纲要</w:t>
      </w:r>
      <w:r>
        <w:rPr>
          <w:rFonts w:hint="eastAsia" w:cs="仿宋_GB2312"/>
          <w:color w:val="auto"/>
          <w:szCs w:val="32"/>
          <w:lang w:eastAsia="zh-CN"/>
        </w:rPr>
        <w:t>》</w:t>
      </w:r>
      <w:r>
        <w:rPr>
          <w:rFonts w:hint="eastAsia" w:ascii="仿宋_GB2312" w:hAnsi="仿宋_GB2312" w:eastAsia="仿宋_GB2312" w:cs="仿宋_GB2312"/>
          <w:color w:val="auto"/>
          <w:kern w:val="44"/>
          <w:szCs w:val="32"/>
        </w:rPr>
        <w:t>《深圳市金融业高质量发展</w:t>
      </w:r>
      <w:r>
        <w:rPr>
          <w:rFonts w:hint="eastAsia" w:ascii="仿宋_GB2312" w:hAnsi="仿宋_GB2312" w:eastAsia="仿宋_GB2312" w:cs="仿宋_GB2312"/>
          <w:color w:val="auto"/>
          <w:kern w:val="44"/>
          <w:szCs w:val="32"/>
          <w:lang w:eastAsia="zh-CN"/>
        </w:rPr>
        <w:t>“</w:t>
      </w:r>
      <w:r>
        <w:rPr>
          <w:rFonts w:hint="eastAsia" w:ascii="仿宋_GB2312" w:hAnsi="仿宋_GB2312" w:eastAsia="仿宋_GB2312" w:cs="仿宋_GB2312"/>
          <w:color w:val="auto"/>
          <w:kern w:val="44"/>
          <w:szCs w:val="32"/>
        </w:rPr>
        <w:t>十四五</w:t>
      </w:r>
      <w:r>
        <w:rPr>
          <w:rFonts w:hint="eastAsia" w:ascii="仿宋_GB2312" w:hAnsi="仿宋_GB2312" w:eastAsia="仿宋_GB2312" w:cs="仿宋_GB2312"/>
          <w:color w:val="auto"/>
          <w:kern w:val="44"/>
          <w:szCs w:val="32"/>
          <w:lang w:eastAsia="zh-CN"/>
        </w:rPr>
        <w:t>”</w:t>
      </w:r>
      <w:r>
        <w:rPr>
          <w:rFonts w:hint="eastAsia" w:ascii="仿宋_GB2312" w:hAnsi="仿宋_GB2312" w:eastAsia="仿宋_GB2312" w:cs="仿宋_GB2312"/>
          <w:color w:val="auto"/>
          <w:kern w:val="44"/>
          <w:szCs w:val="32"/>
        </w:rPr>
        <w:t>规划》</w:t>
      </w:r>
      <w:r>
        <w:rPr>
          <w:rFonts w:hint="eastAsia" w:ascii="仿宋_GB2312" w:hAnsi="仿宋_GB2312" w:eastAsia="仿宋_GB2312" w:cs="仿宋_GB2312"/>
          <w:color w:val="auto"/>
          <w:szCs w:val="32"/>
        </w:rPr>
        <w:t>等文件精神，</w:t>
      </w:r>
      <w:r>
        <w:rPr>
          <w:rFonts w:hint="eastAsia" w:ascii="仿宋_GB2312" w:hAnsi="仿宋_GB2312" w:eastAsia="仿宋_GB2312" w:cs="仿宋_GB2312"/>
          <w:color w:val="auto"/>
          <w:kern w:val="44"/>
          <w:szCs w:val="32"/>
        </w:rPr>
        <w:t>编制本规划。</w:t>
      </w:r>
    </w:p>
    <w:p>
      <w:pPr>
        <w:spacing w:line="560" w:lineRule="exact"/>
        <w:ind w:firstLine="640" w:firstLineChars="200"/>
        <w:rPr>
          <w:rFonts w:hint="default" w:ascii="Times New Roman" w:hAnsi="Times New Roman" w:cs="Times New Roman"/>
          <w:color w:val="auto"/>
          <w:szCs w:val="32"/>
        </w:rPr>
      </w:pPr>
    </w:p>
    <w:p>
      <w:pPr>
        <w:spacing w:line="560" w:lineRule="exact"/>
        <w:ind w:firstLine="640" w:firstLineChars="200"/>
        <w:rPr>
          <w:rFonts w:hint="default" w:ascii="Times New Roman" w:hAnsi="Times New Roman" w:cs="Times New Roman"/>
          <w:color w:val="auto"/>
          <w:szCs w:val="32"/>
        </w:rPr>
      </w:pPr>
    </w:p>
    <w:p>
      <w:pPr>
        <w:spacing w:line="560" w:lineRule="exact"/>
        <w:ind w:firstLine="640" w:firstLineChars="200"/>
        <w:rPr>
          <w:rFonts w:hint="default" w:ascii="Times New Roman" w:hAnsi="Times New Roman" w:cs="Times New Roman"/>
          <w:color w:val="auto"/>
          <w:szCs w:val="32"/>
        </w:rPr>
      </w:pPr>
    </w:p>
    <w:p>
      <w:pPr>
        <w:pStyle w:val="23"/>
        <w:spacing w:after="140" w:afterLines="0" w:line="260" w:lineRule="auto"/>
        <w:jc w:val="center"/>
        <w:rPr>
          <w:rFonts w:hint="default" w:ascii="Times New Roman" w:hAnsi="Times New Roman" w:eastAsia="仿宋_GB2312" w:cs="Times New Roman"/>
          <w:color w:val="auto"/>
          <w:kern w:val="2"/>
          <w:szCs w:val="22"/>
          <w:lang w:val="zh-CN"/>
        </w:rPr>
      </w:pPr>
    </w:p>
    <w:sdt>
      <w:sdtPr>
        <w:rPr>
          <w:rFonts w:hint="eastAsia" w:ascii="方正楷体_GB2312" w:hAnsi="方正楷体_GB2312" w:eastAsia="方正楷体_GB2312" w:cs="方正楷体_GB2312"/>
          <w:b/>
          <w:bCs/>
          <w:color w:val="auto"/>
          <w:kern w:val="2"/>
          <w:sz w:val="36"/>
          <w:szCs w:val="36"/>
          <w:highlight w:val="none"/>
          <w:lang w:val="zh-CN"/>
        </w:rPr>
        <w:id w:val="689648556"/>
      </w:sdtPr>
      <w:sdtEndPr>
        <w:rPr>
          <w:rFonts w:hint="eastAsia" w:ascii="方正楷体_GB2312" w:hAnsi="方正楷体_GB2312" w:eastAsia="方正楷体_GB2312" w:cs="方正楷体_GB2312"/>
          <w:b/>
          <w:bCs/>
          <w:color w:val="auto"/>
          <w:kern w:val="2"/>
          <w:sz w:val="24"/>
          <w:szCs w:val="24"/>
          <w:highlight w:val="yellow"/>
          <w:lang w:val="zh-CN"/>
        </w:rPr>
      </w:sdtEndPr>
      <w:sdtContent>
        <w:p>
          <w:pPr>
            <w:pStyle w:val="23"/>
            <w:spacing w:after="140" w:afterLines="0" w:line="260" w:lineRule="auto"/>
            <w:jc w:val="center"/>
            <w:rPr>
              <w:rFonts w:hint="eastAsia" w:ascii="方正楷体_GB2312" w:hAnsi="方正楷体_GB2312" w:eastAsia="方正楷体_GB2312" w:cs="方正楷体_GB2312"/>
              <w:b/>
              <w:bCs/>
              <w:color w:val="auto"/>
              <w:sz w:val="36"/>
              <w:szCs w:val="36"/>
              <w:highlight w:val="none"/>
            </w:rPr>
          </w:pPr>
          <w:r>
            <w:rPr>
              <w:rFonts w:hint="eastAsia" w:ascii="方正楷体_GB2312" w:hAnsi="方正楷体_GB2312" w:eastAsia="方正楷体_GB2312" w:cs="方正楷体_GB2312"/>
              <w:b/>
              <w:bCs/>
              <w:color w:val="auto"/>
              <w:sz w:val="36"/>
              <w:szCs w:val="36"/>
              <w:highlight w:val="none"/>
              <w:lang w:val="zh-CN"/>
            </w:rPr>
            <w:t>目录</w:t>
          </w:r>
        </w:p>
        <w:p>
          <w:pPr>
            <w:pStyle w:val="10"/>
            <w:tabs>
              <w:tab w:val="right" w:leader="dot" w:pos="8504"/>
              <w:tab w:val="clear" w:pos="8296"/>
            </w:tabs>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color w:val="auto"/>
              <w:sz w:val="24"/>
              <w:szCs w:val="24"/>
            </w:rPr>
            <w:fldChar w:fldCharType="begin"/>
          </w:r>
          <w:r>
            <w:rPr>
              <w:rFonts w:hint="eastAsia" w:ascii="方正楷体_GB2312" w:hAnsi="方正楷体_GB2312" w:eastAsia="方正楷体_GB2312" w:cs="方正楷体_GB2312"/>
              <w:color w:val="auto"/>
              <w:sz w:val="24"/>
              <w:szCs w:val="24"/>
            </w:rPr>
            <w:instrText xml:space="preserve"> TOC \o "1-3" \h \z \u </w:instrText>
          </w:r>
          <w:r>
            <w:rPr>
              <w:rFonts w:hint="eastAsia" w:ascii="方正楷体_GB2312" w:hAnsi="方正楷体_GB2312" w:eastAsia="方正楷体_GB2312" w:cs="方正楷体_GB2312"/>
              <w:color w:val="auto"/>
              <w:sz w:val="24"/>
              <w:szCs w:val="24"/>
            </w:rPr>
            <w:fldChar w:fldCharType="separate"/>
          </w:r>
          <w:r>
            <w:rPr>
              <w:rFonts w:hint="eastAsia" w:ascii="黑体" w:hAnsi="黑体" w:eastAsia="黑体" w:cs="黑体"/>
              <w:color w:val="auto"/>
              <w:sz w:val="24"/>
              <w:szCs w:val="24"/>
            </w:rPr>
            <w:fldChar w:fldCharType="begin"/>
          </w:r>
          <w:r>
            <w:rPr>
              <w:rFonts w:hint="eastAsia" w:ascii="黑体" w:hAnsi="黑体" w:eastAsia="黑体" w:cs="黑体"/>
              <w:sz w:val="24"/>
              <w:szCs w:val="24"/>
            </w:rPr>
            <w:instrText xml:space="preserve"> HYPERLINK \l _Toc275413172 </w:instrText>
          </w:r>
          <w:r>
            <w:rPr>
              <w:rFonts w:hint="eastAsia" w:ascii="黑体" w:hAnsi="黑体" w:eastAsia="黑体" w:cs="黑体"/>
              <w:sz w:val="24"/>
              <w:szCs w:val="24"/>
            </w:rPr>
            <w:fldChar w:fldCharType="separate"/>
          </w:r>
          <w:r>
            <w:rPr>
              <w:rFonts w:hint="eastAsia" w:ascii="黑体" w:hAnsi="黑体" w:eastAsia="黑体" w:cs="黑体"/>
              <w:sz w:val="24"/>
              <w:szCs w:val="24"/>
            </w:rPr>
            <w:t>一、发展基础</w:t>
          </w:r>
          <w:r>
            <w:rPr>
              <w:rFonts w:hint="eastAsia" w:ascii="黑体" w:hAnsi="黑体" w:eastAsia="黑体" w:cs="黑体"/>
              <w:sz w:val="24"/>
              <w:szCs w:val="24"/>
              <w:lang w:val="en-US" w:eastAsia="zh-CN"/>
            </w:rPr>
            <w:t>和存在不足</w:t>
          </w:r>
          <w:r>
            <w:rPr>
              <w:rFonts w:hint="eastAsia" w:ascii="方正楷体_GB2312" w:hAnsi="方正楷体_GB2312" w:eastAsia="方正楷体_GB2312" w:cs="方正楷体_GB2312"/>
              <w:kern w:val="0"/>
              <w:sz w:val="24"/>
              <w:szCs w:val="24"/>
              <w:lang w:val="en-US" w:eastAsia="zh-CN" w:bidi="ar-SA"/>
            </w:rPr>
            <w:tab/>
          </w:r>
          <w:r>
            <w:rPr>
              <w:rFonts w:hint="eastAsia" w:ascii="方正楷体_GB2312" w:hAnsi="方正楷体_GB2312" w:eastAsia="方正楷体_GB2312" w:cs="方正楷体_GB2312"/>
              <w:kern w:val="0"/>
              <w:sz w:val="24"/>
              <w:szCs w:val="24"/>
              <w:lang w:val="en-US" w:eastAsia="zh-CN" w:bidi="ar-SA"/>
            </w:rPr>
            <w:fldChar w:fldCharType="begin"/>
          </w:r>
          <w:r>
            <w:rPr>
              <w:rFonts w:hint="eastAsia" w:ascii="方正楷体_GB2312" w:hAnsi="方正楷体_GB2312" w:eastAsia="方正楷体_GB2312" w:cs="方正楷体_GB2312"/>
              <w:kern w:val="0"/>
              <w:sz w:val="24"/>
              <w:szCs w:val="24"/>
              <w:lang w:val="en-US" w:eastAsia="zh-CN" w:bidi="ar-SA"/>
            </w:rPr>
            <w:instrText xml:space="preserve"> PAGEREF _Toc275413172 </w:instrText>
          </w:r>
          <w:r>
            <w:rPr>
              <w:rFonts w:hint="eastAsia" w:ascii="方正楷体_GB2312" w:hAnsi="方正楷体_GB2312" w:eastAsia="方正楷体_GB2312" w:cs="方正楷体_GB2312"/>
              <w:kern w:val="0"/>
              <w:sz w:val="24"/>
              <w:szCs w:val="24"/>
              <w:lang w:val="en-US" w:eastAsia="zh-CN" w:bidi="ar-SA"/>
            </w:rPr>
            <w:fldChar w:fldCharType="separate"/>
          </w:r>
          <w:r>
            <w:rPr>
              <w:rFonts w:hint="eastAsia" w:ascii="方正楷体_GB2312" w:hAnsi="方正楷体_GB2312" w:eastAsia="方正楷体_GB2312" w:cs="方正楷体_GB2312"/>
              <w:kern w:val="0"/>
              <w:sz w:val="24"/>
              <w:szCs w:val="24"/>
              <w:lang w:val="en-US" w:eastAsia="zh-CN" w:bidi="ar-SA"/>
            </w:rPr>
            <w:t>1</w:t>
          </w:r>
          <w:r>
            <w:rPr>
              <w:rFonts w:hint="eastAsia" w:ascii="方正楷体_GB2312" w:hAnsi="方正楷体_GB2312" w:eastAsia="方正楷体_GB2312" w:cs="方正楷体_GB2312"/>
              <w:kern w:val="0"/>
              <w:sz w:val="24"/>
              <w:szCs w:val="24"/>
              <w:lang w:val="en-US" w:eastAsia="zh-CN" w:bidi="ar-SA"/>
            </w:rPr>
            <w:fldChar w:fldCharType="end"/>
          </w:r>
          <w:r>
            <w:rPr>
              <w:rFonts w:hint="eastAsia" w:ascii="黑体" w:hAnsi="黑体" w:eastAsia="黑体" w:cs="黑体"/>
              <w:color w:val="auto"/>
              <w:sz w:val="24"/>
              <w:szCs w:val="24"/>
            </w:rPr>
            <w:fldChar w:fldCharType="end"/>
          </w:r>
        </w:p>
        <w:p>
          <w:pPr>
            <w:pStyle w:val="12"/>
            <w:tabs>
              <w:tab w:val="right" w:leader="dot" w:pos="8504"/>
            </w:tabs>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Cs/>
              <w:color w:val="auto"/>
              <w:sz w:val="24"/>
              <w:szCs w:val="24"/>
              <w:lang w:val="zh-CN"/>
            </w:rPr>
            <w:fldChar w:fldCharType="begin"/>
          </w:r>
          <w:r>
            <w:rPr>
              <w:rFonts w:hint="eastAsia" w:ascii="方正楷体_GB2312" w:hAnsi="方正楷体_GB2312" w:eastAsia="方正楷体_GB2312" w:cs="方正楷体_GB2312"/>
              <w:bCs/>
              <w:sz w:val="24"/>
              <w:szCs w:val="24"/>
              <w:lang w:val="zh-CN"/>
            </w:rPr>
            <w:instrText xml:space="preserve"> HYPERLINK \l _Toc1671214703 </w:instrText>
          </w:r>
          <w:r>
            <w:rPr>
              <w:rFonts w:hint="eastAsia" w:ascii="方正楷体_GB2312" w:hAnsi="方正楷体_GB2312" w:eastAsia="方正楷体_GB2312" w:cs="方正楷体_GB2312"/>
              <w:bCs/>
              <w:sz w:val="24"/>
              <w:szCs w:val="24"/>
              <w:lang w:val="zh-CN"/>
            </w:rPr>
            <w:fldChar w:fldCharType="separate"/>
          </w:r>
          <w:r>
            <w:rPr>
              <w:rFonts w:hint="eastAsia" w:ascii="方正楷体_GB2312" w:hAnsi="方正楷体_GB2312" w:eastAsia="方正楷体_GB2312" w:cs="方正楷体_GB2312"/>
              <w:sz w:val="24"/>
              <w:szCs w:val="24"/>
              <w:lang w:eastAsia="zh-CN"/>
            </w:rPr>
            <w:t>（一）发展基础</w:t>
          </w:r>
          <w:r>
            <w:rPr>
              <w:rFonts w:hint="eastAsia" w:ascii="方正楷体_GB2312" w:hAnsi="方正楷体_GB2312" w:eastAsia="方正楷体_GB2312" w:cs="方正楷体_GB2312"/>
              <w:sz w:val="24"/>
              <w:szCs w:val="24"/>
            </w:rPr>
            <w:tab/>
          </w:r>
          <w:r>
            <w:rPr>
              <w:rFonts w:hint="eastAsia" w:ascii="方正楷体_GB2312" w:hAnsi="方正楷体_GB2312" w:eastAsia="方正楷体_GB2312" w:cs="方正楷体_GB2312"/>
              <w:sz w:val="24"/>
              <w:szCs w:val="24"/>
            </w:rPr>
            <w:fldChar w:fldCharType="begin"/>
          </w:r>
          <w:r>
            <w:rPr>
              <w:rFonts w:hint="eastAsia" w:ascii="方正楷体_GB2312" w:hAnsi="方正楷体_GB2312" w:eastAsia="方正楷体_GB2312" w:cs="方正楷体_GB2312"/>
              <w:sz w:val="24"/>
              <w:szCs w:val="24"/>
            </w:rPr>
            <w:instrText xml:space="preserve"> PAGEREF _Toc1671214703 </w:instrText>
          </w:r>
          <w:r>
            <w:rPr>
              <w:rFonts w:hint="eastAsia" w:ascii="方正楷体_GB2312" w:hAnsi="方正楷体_GB2312" w:eastAsia="方正楷体_GB2312" w:cs="方正楷体_GB2312"/>
              <w:sz w:val="24"/>
              <w:szCs w:val="24"/>
            </w:rPr>
            <w:fldChar w:fldCharType="separate"/>
          </w:r>
          <w:r>
            <w:rPr>
              <w:rFonts w:hint="eastAsia" w:ascii="方正楷体_GB2312" w:hAnsi="方正楷体_GB2312" w:eastAsia="方正楷体_GB2312" w:cs="方正楷体_GB2312"/>
              <w:sz w:val="24"/>
              <w:szCs w:val="24"/>
            </w:rPr>
            <w:t>1</w:t>
          </w:r>
          <w:r>
            <w:rPr>
              <w:rFonts w:hint="eastAsia" w:ascii="方正楷体_GB2312" w:hAnsi="方正楷体_GB2312" w:eastAsia="方正楷体_GB2312" w:cs="方正楷体_GB2312"/>
              <w:sz w:val="24"/>
              <w:szCs w:val="24"/>
            </w:rPr>
            <w:fldChar w:fldCharType="end"/>
          </w:r>
          <w:r>
            <w:rPr>
              <w:rFonts w:hint="eastAsia" w:ascii="方正楷体_GB2312" w:hAnsi="方正楷体_GB2312" w:eastAsia="方正楷体_GB2312" w:cs="方正楷体_GB2312"/>
              <w:bCs/>
              <w:color w:val="auto"/>
              <w:sz w:val="24"/>
              <w:szCs w:val="24"/>
              <w:lang w:val="zh-CN"/>
            </w:rPr>
            <w:fldChar w:fldCharType="end"/>
          </w:r>
        </w:p>
        <w:p>
          <w:pPr>
            <w:pStyle w:val="12"/>
            <w:tabs>
              <w:tab w:val="right" w:leader="dot" w:pos="8504"/>
            </w:tabs>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Cs/>
              <w:color w:val="auto"/>
              <w:sz w:val="24"/>
              <w:szCs w:val="24"/>
              <w:lang w:val="zh-CN"/>
            </w:rPr>
            <w:fldChar w:fldCharType="begin"/>
          </w:r>
          <w:r>
            <w:rPr>
              <w:rFonts w:hint="eastAsia" w:ascii="方正楷体_GB2312" w:hAnsi="方正楷体_GB2312" w:eastAsia="方正楷体_GB2312" w:cs="方正楷体_GB2312"/>
              <w:bCs/>
              <w:sz w:val="24"/>
              <w:szCs w:val="24"/>
              <w:lang w:val="zh-CN"/>
            </w:rPr>
            <w:instrText xml:space="preserve"> HYPERLINK \l _Toc729319849 </w:instrText>
          </w:r>
          <w:r>
            <w:rPr>
              <w:rFonts w:hint="eastAsia" w:ascii="方正楷体_GB2312" w:hAnsi="方正楷体_GB2312" w:eastAsia="方正楷体_GB2312" w:cs="方正楷体_GB2312"/>
              <w:bCs/>
              <w:sz w:val="24"/>
              <w:szCs w:val="24"/>
              <w:lang w:val="zh-CN"/>
            </w:rPr>
            <w:fldChar w:fldCharType="separate"/>
          </w:r>
          <w:r>
            <w:rPr>
              <w:rFonts w:hint="eastAsia" w:ascii="方正楷体_GB2312" w:hAnsi="方正楷体_GB2312" w:eastAsia="方正楷体_GB2312" w:cs="方正楷体_GB2312"/>
              <w:sz w:val="24"/>
              <w:szCs w:val="24"/>
            </w:rPr>
            <w:t>（二）存在</w:t>
          </w:r>
          <w:r>
            <w:rPr>
              <w:rFonts w:hint="eastAsia" w:ascii="方正楷体_GB2312" w:hAnsi="方正楷体_GB2312" w:eastAsia="方正楷体_GB2312" w:cs="方正楷体_GB2312"/>
              <w:sz w:val="24"/>
              <w:szCs w:val="24"/>
              <w:lang w:eastAsia="zh-CN"/>
            </w:rPr>
            <w:t>不足</w:t>
          </w:r>
          <w:r>
            <w:rPr>
              <w:rFonts w:hint="eastAsia" w:ascii="方正楷体_GB2312" w:hAnsi="方正楷体_GB2312" w:eastAsia="方正楷体_GB2312" w:cs="方正楷体_GB2312"/>
              <w:sz w:val="24"/>
              <w:szCs w:val="24"/>
            </w:rPr>
            <w:tab/>
          </w:r>
          <w:r>
            <w:rPr>
              <w:rFonts w:hint="eastAsia" w:ascii="方正楷体_GB2312" w:hAnsi="方正楷体_GB2312" w:eastAsia="方正楷体_GB2312" w:cs="方正楷体_GB2312"/>
              <w:sz w:val="24"/>
              <w:szCs w:val="24"/>
            </w:rPr>
            <w:fldChar w:fldCharType="begin"/>
          </w:r>
          <w:r>
            <w:rPr>
              <w:rFonts w:hint="eastAsia" w:ascii="方正楷体_GB2312" w:hAnsi="方正楷体_GB2312" w:eastAsia="方正楷体_GB2312" w:cs="方正楷体_GB2312"/>
              <w:sz w:val="24"/>
              <w:szCs w:val="24"/>
            </w:rPr>
            <w:instrText xml:space="preserve"> PAGEREF _Toc729319849 </w:instrText>
          </w:r>
          <w:r>
            <w:rPr>
              <w:rFonts w:hint="eastAsia" w:ascii="方正楷体_GB2312" w:hAnsi="方正楷体_GB2312" w:eastAsia="方正楷体_GB2312" w:cs="方正楷体_GB2312"/>
              <w:sz w:val="24"/>
              <w:szCs w:val="24"/>
            </w:rPr>
            <w:fldChar w:fldCharType="separate"/>
          </w:r>
          <w:r>
            <w:rPr>
              <w:rFonts w:hint="eastAsia" w:ascii="方正楷体_GB2312" w:hAnsi="方正楷体_GB2312" w:eastAsia="方正楷体_GB2312" w:cs="方正楷体_GB2312"/>
              <w:sz w:val="24"/>
              <w:szCs w:val="24"/>
            </w:rPr>
            <w:t>4</w:t>
          </w:r>
          <w:r>
            <w:rPr>
              <w:rFonts w:hint="eastAsia" w:ascii="方正楷体_GB2312" w:hAnsi="方正楷体_GB2312" w:eastAsia="方正楷体_GB2312" w:cs="方正楷体_GB2312"/>
              <w:sz w:val="24"/>
              <w:szCs w:val="24"/>
            </w:rPr>
            <w:fldChar w:fldCharType="end"/>
          </w:r>
          <w:r>
            <w:rPr>
              <w:rFonts w:hint="eastAsia" w:ascii="方正楷体_GB2312" w:hAnsi="方正楷体_GB2312" w:eastAsia="方正楷体_GB2312" w:cs="方正楷体_GB2312"/>
              <w:bCs/>
              <w:color w:val="auto"/>
              <w:sz w:val="24"/>
              <w:szCs w:val="24"/>
              <w:lang w:val="zh-CN"/>
            </w:rPr>
            <w:fldChar w:fldCharType="end"/>
          </w:r>
        </w:p>
        <w:p>
          <w:pPr>
            <w:pStyle w:val="10"/>
            <w:tabs>
              <w:tab w:val="right" w:leader="dot" w:pos="8504"/>
              <w:tab w:val="clear" w:pos="8296"/>
            </w:tabs>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Cs/>
              <w:color w:val="auto"/>
              <w:sz w:val="24"/>
              <w:szCs w:val="24"/>
              <w:lang w:val="zh-CN"/>
            </w:rPr>
            <w:fldChar w:fldCharType="begin"/>
          </w:r>
          <w:r>
            <w:rPr>
              <w:rFonts w:hint="eastAsia" w:ascii="方正楷体_GB2312" w:hAnsi="方正楷体_GB2312" w:eastAsia="方正楷体_GB2312" w:cs="方正楷体_GB2312"/>
              <w:bCs/>
              <w:sz w:val="24"/>
              <w:szCs w:val="24"/>
              <w:lang w:val="zh-CN"/>
            </w:rPr>
            <w:instrText xml:space="preserve"> HYPERLINK \l _Toc131702899 </w:instrText>
          </w:r>
          <w:r>
            <w:rPr>
              <w:rFonts w:hint="eastAsia" w:ascii="方正楷体_GB2312" w:hAnsi="方正楷体_GB2312" w:eastAsia="方正楷体_GB2312" w:cs="方正楷体_GB2312"/>
              <w:bCs/>
              <w:sz w:val="24"/>
              <w:szCs w:val="24"/>
              <w:lang w:val="zh-CN"/>
            </w:rPr>
            <w:fldChar w:fldCharType="separate"/>
          </w:r>
          <w:r>
            <w:rPr>
              <w:rFonts w:hint="eastAsia" w:ascii="黑体" w:hAnsi="黑体" w:eastAsia="黑体" w:cs="黑体"/>
              <w:sz w:val="24"/>
              <w:szCs w:val="24"/>
            </w:rPr>
            <w:t>二、</w:t>
          </w:r>
          <w:r>
            <w:rPr>
              <w:rFonts w:hint="eastAsia" w:ascii="黑体" w:hAnsi="黑体" w:eastAsia="黑体" w:cs="黑体"/>
              <w:sz w:val="24"/>
              <w:szCs w:val="24"/>
              <w:lang w:val="en-US" w:eastAsia="zh-CN"/>
            </w:rPr>
            <w:t>总体思路</w:t>
          </w:r>
          <w:r>
            <w:rPr>
              <w:rFonts w:hint="eastAsia" w:ascii="方正楷体_GB2312" w:hAnsi="方正楷体_GB2312" w:eastAsia="方正楷体_GB2312" w:cs="方正楷体_GB2312"/>
              <w:sz w:val="24"/>
              <w:szCs w:val="24"/>
            </w:rPr>
            <w:tab/>
          </w:r>
          <w:r>
            <w:rPr>
              <w:rFonts w:hint="eastAsia" w:ascii="方正楷体_GB2312" w:hAnsi="方正楷体_GB2312" w:eastAsia="方正楷体_GB2312" w:cs="方正楷体_GB2312"/>
              <w:sz w:val="24"/>
              <w:szCs w:val="24"/>
            </w:rPr>
            <w:fldChar w:fldCharType="begin"/>
          </w:r>
          <w:r>
            <w:rPr>
              <w:rFonts w:hint="eastAsia" w:ascii="方正楷体_GB2312" w:hAnsi="方正楷体_GB2312" w:eastAsia="方正楷体_GB2312" w:cs="方正楷体_GB2312"/>
              <w:sz w:val="24"/>
              <w:szCs w:val="24"/>
            </w:rPr>
            <w:instrText xml:space="preserve"> PAGEREF _Toc131702899 </w:instrText>
          </w:r>
          <w:r>
            <w:rPr>
              <w:rFonts w:hint="eastAsia" w:ascii="方正楷体_GB2312" w:hAnsi="方正楷体_GB2312" w:eastAsia="方正楷体_GB2312" w:cs="方正楷体_GB2312"/>
              <w:sz w:val="24"/>
              <w:szCs w:val="24"/>
            </w:rPr>
            <w:fldChar w:fldCharType="separate"/>
          </w:r>
          <w:r>
            <w:rPr>
              <w:rFonts w:hint="eastAsia" w:ascii="方正楷体_GB2312" w:hAnsi="方正楷体_GB2312" w:eastAsia="方正楷体_GB2312" w:cs="方正楷体_GB2312"/>
              <w:sz w:val="24"/>
              <w:szCs w:val="24"/>
            </w:rPr>
            <w:t>5</w:t>
          </w:r>
          <w:r>
            <w:rPr>
              <w:rFonts w:hint="eastAsia" w:ascii="方正楷体_GB2312" w:hAnsi="方正楷体_GB2312" w:eastAsia="方正楷体_GB2312" w:cs="方正楷体_GB2312"/>
              <w:sz w:val="24"/>
              <w:szCs w:val="24"/>
            </w:rPr>
            <w:fldChar w:fldCharType="end"/>
          </w:r>
          <w:r>
            <w:rPr>
              <w:rFonts w:hint="eastAsia" w:ascii="方正楷体_GB2312" w:hAnsi="方正楷体_GB2312" w:eastAsia="方正楷体_GB2312" w:cs="方正楷体_GB2312"/>
              <w:bCs/>
              <w:color w:val="auto"/>
              <w:sz w:val="24"/>
              <w:szCs w:val="24"/>
              <w:lang w:val="zh-CN"/>
            </w:rPr>
            <w:fldChar w:fldCharType="end"/>
          </w:r>
        </w:p>
        <w:p>
          <w:pPr>
            <w:pStyle w:val="12"/>
            <w:tabs>
              <w:tab w:val="right" w:leader="dot" w:pos="8504"/>
            </w:tabs>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Cs/>
              <w:color w:val="auto"/>
              <w:sz w:val="24"/>
              <w:szCs w:val="24"/>
              <w:lang w:val="zh-CN"/>
            </w:rPr>
            <w:fldChar w:fldCharType="begin"/>
          </w:r>
          <w:r>
            <w:rPr>
              <w:rFonts w:hint="eastAsia" w:ascii="方正楷体_GB2312" w:hAnsi="方正楷体_GB2312" w:eastAsia="方正楷体_GB2312" w:cs="方正楷体_GB2312"/>
              <w:bCs/>
              <w:sz w:val="24"/>
              <w:szCs w:val="24"/>
              <w:lang w:val="zh-CN"/>
            </w:rPr>
            <w:instrText xml:space="preserve"> HYPERLINK \l _Toc35904891 </w:instrText>
          </w:r>
          <w:r>
            <w:rPr>
              <w:rFonts w:hint="eastAsia" w:ascii="方正楷体_GB2312" w:hAnsi="方正楷体_GB2312" w:eastAsia="方正楷体_GB2312" w:cs="方正楷体_GB2312"/>
              <w:bCs/>
              <w:sz w:val="24"/>
              <w:szCs w:val="24"/>
              <w:lang w:val="zh-CN"/>
            </w:rPr>
            <w:fldChar w:fldCharType="separate"/>
          </w:r>
          <w:r>
            <w:rPr>
              <w:rFonts w:hint="eastAsia" w:ascii="方正楷体_GB2312" w:hAnsi="方正楷体_GB2312" w:eastAsia="方正楷体_GB2312" w:cs="方正楷体_GB2312"/>
              <w:sz w:val="24"/>
              <w:szCs w:val="24"/>
            </w:rPr>
            <w:t>（一）指导思想</w:t>
          </w:r>
          <w:r>
            <w:rPr>
              <w:rFonts w:hint="eastAsia" w:ascii="方正楷体_GB2312" w:hAnsi="方正楷体_GB2312" w:eastAsia="方正楷体_GB2312" w:cs="方正楷体_GB2312"/>
              <w:sz w:val="24"/>
              <w:szCs w:val="24"/>
            </w:rPr>
            <w:tab/>
          </w:r>
          <w:r>
            <w:rPr>
              <w:rFonts w:hint="eastAsia" w:ascii="方正楷体_GB2312" w:hAnsi="方正楷体_GB2312" w:eastAsia="方正楷体_GB2312" w:cs="方正楷体_GB2312"/>
              <w:sz w:val="24"/>
              <w:szCs w:val="24"/>
            </w:rPr>
            <w:fldChar w:fldCharType="begin"/>
          </w:r>
          <w:r>
            <w:rPr>
              <w:rFonts w:hint="eastAsia" w:ascii="方正楷体_GB2312" w:hAnsi="方正楷体_GB2312" w:eastAsia="方正楷体_GB2312" w:cs="方正楷体_GB2312"/>
              <w:sz w:val="24"/>
              <w:szCs w:val="24"/>
            </w:rPr>
            <w:instrText xml:space="preserve"> PAGEREF _Toc35904891 </w:instrText>
          </w:r>
          <w:r>
            <w:rPr>
              <w:rFonts w:hint="eastAsia" w:ascii="方正楷体_GB2312" w:hAnsi="方正楷体_GB2312" w:eastAsia="方正楷体_GB2312" w:cs="方正楷体_GB2312"/>
              <w:sz w:val="24"/>
              <w:szCs w:val="24"/>
            </w:rPr>
            <w:fldChar w:fldCharType="separate"/>
          </w:r>
          <w:r>
            <w:rPr>
              <w:rFonts w:hint="eastAsia" w:ascii="方正楷体_GB2312" w:hAnsi="方正楷体_GB2312" w:eastAsia="方正楷体_GB2312" w:cs="方正楷体_GB2312"/>
              <w:sz w:val="24"/>
              <w:szCs w:val="24"/>
            </w:rPr>
            <w:t>5</w:t>
          </w:r>
          <w:r>
            <w:rPr>
              <w:rFonts w:hint="eastAsia" w:ascii="方正楷体_GB2312" w:hAnsi="方正楷体_GB2312" w:eastAsia="方正楷体_GB2312" w:cs="方正楷体_GB2312"/>
              <w:sz w:val="24"/>
              <w:szCs w:val="24"/>
            </w:rPr>
            <w:fldChar w:fldCharType="end"/>
          </w:r>
          <w:r>
            <w:rPr>
              <w:rFonts w:hint="eastAsia" w:ascii="方正楷体_GB2312" w:hAnsi="方正楷体_GB2312" w:eastAsia="方正楷体_GB2312" w:cs="方正楷体_GB2312"/>
              <w:bCs/>
              <w:color w:val="auto"/>
              <w:sz w:val="24"/>
              <w:szCs w:val="24"/>
              <w:lang w:val="zh-CN"/>
            </w:rPr>
            <w:fldChar w:fldCharType="end"/>
          </w:r>
        </w:p>
        <w:p>
          <w:pPr>
            <w:pStyle w:val="12"/>
            <w:tabs>
              <w:tab w:val="right" w:leader="dot" w:pos="8504"/>
            </w:tabs>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Cs/>
              <w:color w:val="auto"/>
              <w:sz w:val="24"/>
              <w:szCs w:val="24"/>
              <w:lang w:val="zh-CN"/>
            </w:rPr>
            <w:fldChar w:fldCharType="begin"/>
          </w:r>
          <w:r>
            <w:rPr>
              <w:rFonts w:hint="eastAsia" w:ascii="方正楷体_GB2312" w:hAnsi="方正楷体_GB2312" w:eastAsia="方正楷体_GB2312" w:cs="方正楷体_GB2312"/>
              <w:bCs/>
              <w:sz w:val="24"/>
              <w:szCs w:val="24"/>
              <w:lang w:val="zh-CN"/>
            </w:rPr>
            <w:instrText xml:space="preserve"> HYPERLINK \l _Toc2047430807 </w:instrText>
          </w:r>
          <w:r>
            <w:rPr>
              <w:rFonts w:hint="eastAsia" w:ascii="方正楷体_GB2312" w:hAnsi="方正楷体_GB2312" w:eastAsia="方正楷体_GB2312" w:cs="方正楷体_GB2312"/>
              <w:bCs/>
              <w:sz w:val="24"/>
              <w:szCs w:val="24"/>
              <w:lang w:val="zh-CN"/>
            </w:rPr>
            <w:fldChar w:fldCharType="separate"/>
          </w:r>
          <w:r>
            <w:rPr>
              <w:rFonts w:hint="eastAsia" w:ascii="方正楷体_GB2312" w:hAnsi="方正楷体_GB2312" w:eastAsia="方正楷体_GB2312" w:cs="方正楷体_GB2312"/>
              <w:sz w:val="24"/>
              <w:szCs w:val="24"/>
            </w:rPr>
            <w:t>（二）基本原则</w:t>
          </w:r>
          <w:r>
            <w:rPr>
              <w:rFonts w:hint="eastAsia" w:ascii="方正楷体_GB2312" w:hAnsi="方正楷体_GB2312" w:eastAsia="方正楷体_GB2312" w:cs="方正楷体_GB2312"/>
              <w:sz w:val="24"/>
              <w:szCs w:val="24"/>
            </w:rPr>
            <w:tab/>
          </w:r>
          <w:r>
            <w:rPr>
              <w:rFonts w:hint="eastAsia" w:ascii="方正楷体_GB2312" w:hAnsi="方正楷体_GB2312" w:eastAsia="方正楷体_GB2312" w:cs="方正楷体_GB2312"/>
              <w:sz w:val="24"/>
              <w:szCs w:val="24"/>
            </w:rPr>
            <w:fldChar w:fldCharType="begin"/>
          </w:r>
          <w:r>
            <w:rPr>
              <w:rFonts w:hint="eastAsia" w:ascii="方正楷体_GB2312" w:hAnsi="方正楷体_GB2312" w:eastAsia="方正楷体_GB2312" w:cs="方正楷体_GB2312"/>
              <w:sz w:val="24"/>
              <w:szCs w:val="24"/>
            </w:rPr>
            <w:instrText xml:space="preserve"> PAGEREF _Toc2047430807 </w:instrText>
          </w:r>
          <w:r>
            <w:rPr>
              <w:rFonts w:hint="eastAsia" w:ascii="方正楷体_GB2312" w:hAnsi="方正楷体_GB2312" w:eastAsia="方正楷体_GB2312" w:cs="方正楷体_GB2312"/>
              <w:sz w:val="24"/>
              <w:szCs w:val="24"/>
            </w:rPr>
            <w:fldChar w:fldCharType="separate"/>
          </w:r>
          <w:r>
            <w:rPr>
              <w:rFonts w:hint="eastAsia" w:ascii="方正楷体_GB2312" w:hAnsi="方正楷体_GB2312" w:eastAsia="方正楷体_GB2312" w:cs="方正楷体_GB2312"/>
              <w:sz w:val="24"/>
              <w:szCs w:val="24"/>
            </w:rPr>
            <w:t>6</w:t>
          </w:r>
          <w:r>
            <w:rPr>
              <w:rFonts w:hint="eastAsia" w:ascii="方正楷体_GB2312" w:hAnsi="方正楷体_GB2312" w:eastAsia="方正楷体_GB2312" w:cs="方正楷体_GB2312"/>
              <w:sz w:val="24"/>
              <w:szCs w:val="24"/>
            </w:rPr>
            <w:fldChar w:fldCharType="end"/>
          </w:r>
          <w:r>
            <w:rPr>
              <w:rFonts w:hint="eastAsia" w:ascii="方正楷体_GB2312" w:hAnsi="方正楷体_GB2312" w:eastAsia="方正楷体_GB2312" w:cs="方正楷体_GB2312"/>
              <w:bCs/>
              <w:color w:val="auto"/>
              <w:sz w:val="24"/>
              <w:szCs w:val="24"/>
              <w:lang w:val="zh-CN"/>
            </w:rPr>
            <w:fldChar w:fldCharType="end"/>
          </w:r>
        </w:p>
        <w:p>
          <w:pPr>
            <w:pStyle w:val="12"/>
            <w:tabs>
              <w:tab w:val="right" w:leader="dot" w:pos="8504"/>
            </w:tabs>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Cs/>
              <w:color w:val="auto"/>
              <w:sz w:val="24"/>
              <w:szCs w:val="24"/>
              <w:lang w:val="zh-CN"/>
            </w:rPr>
            <w:fldChar w:fldCharType="begin"/>
          </w:r>
          <w:r>
            <w:rPr>
              <w:rFonts w:hint="eastAsia" w:ascii="方正楷体_GB2312" w:hAnsi="方正楷体_GB2312" w:eastAsia="方正楷体_GB2312" w:cs="方正楷体_GB2312"/>
              <w:bCs/>
              <w:sz w:val="24"/>
              <w:szCs w:val="24"/>
              <w:lang w:val="zh-CN"/>
            </w:rPr>
            <w:instrText xml:space="preserve"> HYPERLINK \l _Toc998308484 </w:instrText>
          </w:r>
          <w:r>
            <w:rPr>
              <w:rFonts w:hint="eastAsia" w:ascii="方正楷体_GB2312" w:hAnsi="方正楷体_GB2312" w:eastAsia="方正楷体_GB2312" w:cs="方正楷体_GB2312"/>
              <w:bCs/>
              <w:sz w:val="24"/>
              <w:szCs w:val="24"/>
              <w:lang w:val="zh-CN"/>
            </w:rPr>
            <w:fldChar w:fldCharType="separate"/>
          </w:r>
          <w:r>
            <w:rPr>
              <w:rFonts w:hint="eastAsia" w:ascii="方正楷体_GB2312" w:hAnsi="方正楷体_GB2312" w:eastAsia="方正楷体_GB2312" w:cs="方正楷体_GB2312"/>
              <w:sz w:val="24"/>
              <w:szCs w:val="24"/>
            </w:rPr>
            <w:t>（三）发展目标</w:t>
          </w:r>
          <w:r>
            <w:rPr>
              <w:rFonts w:hint="eastAsia" w:ascii="方正楷体_GB2312" w:hAnsi="方正楷体_GB2312" w:eastAsia="方正楷体_GB2312" w:cs="方正楷体_GB2312"/>
              <w:sz w:val="24"/>
              <w:szCs w:val="24"/>
            </w:rPr>
            <w:tab/>
          </w:r>
          <w:r>
            <w:rPr>
              <w:rFonts w:hint="eastAsia" w:ascii="方正楷体_GB2312" w:hAnsi="方正楷体_GB2312" w:eastAsia="方正楷体_GB2312" w:cs="方正楷体_GB2312"/>
              <w:sz w:val="24"/>
              <w:szCs w:val="24"/>
            </w:rPr>
            <w:fldChar w:fldCharType="begin"/>
          </w:r>
          <w:r>
            <w:rPr>
              <w:rFonts w:hint="eastAsia" w:ascii="方正楷体_GB2312" w:hAnsi="方正楷体_GB2312" w:eastAsia="方正楷体_GB2312" w:cs="方正楷体_GB2312"/>
              <w:sz w:val="24"/>
              <w:szCs w:val="24"/>
            </w:rPr>
            <w:instrText xml:space="preserve"> PAGEREF _Toc998308484 </w:instrText>
          </w:r>
          <w:r>
            <w:rPr>
              <w:rFonts w:hint="eastAsia" w:ascii="方正楷体_GB2312" w:hAnsi="方正楷体_GB2312" w:eastAsia="方正楷体_GB2312" w:cs="方正楷体_GB2312"/>
              <w:sz w:val="24"/>
              <w:szCs w:val="24"/>
            </w:rPr>
            <w:fldChar w:fldCharType="separate"/>
          </w:r>
          <w:r>
            <w:rPr>
              <w:rFonts w:hint="eastAsia" w:ascii="方正楷体_GB2312" w:hAnsi="方正楷体_GB2312" w:eastAsia="方正楷体_GB2312" w:cs="方正楷体_GB2312"/>
              <w:sz w:val="24"/>
              <w:szCs w:val="24"/>
            </w:rPr>
            <w:t>6</w:t>
          </w:r>
          <w:r>
            <w:rPr>
              <w:rFonts w:hint="eastAsia" w:ascii="方正楷体_GB2312" w:hAnsi="方正楷体_GB2312" w:eastAsia="方正楷体_GB2312" w:cs="方正楷体_GB2312"/>
              <w:sz w:val="24"/>
              <w:szCs w:val="24"/>
            </w:rPr>
            <w:fldChar w:fldCharType="end"/>
          </w:r>
          <w:r>
            <w:rPr>
              <w:rFonts w:hint="eastAsia" w:ascii="方正楷体_GB2312" w:hAnsi="方正楷体_GB2312" w:eastAsia="方正楷体_GB2312" w:cs="方正楷体_GB2312"/>
              <w:bCs/>
              <w:color w:val="auto"/>
              <w:sz w:val="24"/>
              <w:szCs w:val="24"/>
              <w:lang w:val="zh-CN"/>
            </w:rPr>
            <w:fldChar w:fldCharType="end"/>
          </w:r>
        </w:p>
        <w:p>
          <w:pPr>
            <w:pStyle w:val="10"/>
            <w:tabs>
              <w:tab w:val="right" w:leader="dot" w:pos="8504"/>
              <w:tab w:val="clear" w:pos="8296"/>
            </w:tabs>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Cs/>
              <w:color w:val="auto"/>
              <w:sz w:val="24"/>
              <w:szCs w:val="24"/>
              <w:lang w:val="zh-CN"/>
            </w:rPr>
            <w:fldChar w:fldCharType="begin"/>
          </w:r>
          <w:r>
            <w:rPr>
              <w:rFonts w:hint="eastAsia" w:ascii="方正楷体_GB2312" w:hAnsi="方正楷体_GB2312" w:eastAsia="方正楷体_GB2312" w:cs="方正楷体_GB2312"/>
              <w:bCs/>
              <w:sz w:val="24"/>
              <w:szCs w:val="24"/>
              <w:lang w:val="zh-CN"/>
            </w:rPr>
            <w:instrText xml:space="preserve"> HYPERLINK \l _Toc581148126 </w:instrText>
          </w:r>
          <w:r>
            <w:rPr>
              <w:rFonts w:hint="eastAsia" w:ascii="方正楷体_GB2312" w:hAnsi="方正楷体_GB2312" w:eastAsia="方正楷体_GB2312" w:cs="方正楷体_GB2312"/>
              <w:bCs/>
              <w:sz w:val="24"/>
              <w:szCs w:val="24"/>
              <w:lang w:val="zh-CN"/>
            </w:rPr>
            <w:fldChar w:fldCharType="separate"/>
          </w:r>
          <w:r>
            <w:rPr>
              <w:rFonts w:hint="eastAsia" w:ascii="黑体" w:hAnsi="黑体" w:eastAsia="黑体" w:cs="黑体"/>
              <w:sz w:val="24"/>
              <w:szCs w:val="24"/>
            </w:rPr>
            <w:t>三、</w:t>
          </w:r>
          <w:r>
            <w:rPr>
              <w:rFonts w:hint="eastAsia" w:ascii="黑体" w:hAnsi="黑体" w:eastAsia="黑体" w:cs="黑体"/>
              <w:sz w:val="24"/>
              <w:szCs w:val="24"/>
              <w:lang w:val="en-US" w:eastAsia="zh-CN"/>
            </w:rPr>
            <w:t>主要任务</w:t>
          </w:r>
          <w:r>
            <w:rPr>
              <w:rFonts w:hint="eastAsia" w:ascii="方正楷体_GB2312" w:hAnsi="方正楷体_GB2312" w:eastAsia="方正楷体_GB2312" w:cs="方正楷体_GB2312"/>
              <w:sz w:val="24"/>
              <w:szCs w:val="24"/>
            </w:rPr>
            <w:tab/>
          </w:r>
          <w:r>
            <w:rPr>
              <w:rFonts w:hint="eastAsia" w:ascii="方正楷体_GB2312" w:hAnsi="方正楷体_GB2312" w:eastAsia="方正楷体_GB2312" w:cs="方正楷体_GB2312"/>
              <w:sz w:val="24"/>
              <w:szCs w:val="24"/>
            </w:rPr>
            <w:fldChar w:fldCharType="begin"/>
          </w:r>
          <w:r>
            <w:rPr>
              <w:rFonts w:hint="eastAsia" w:ascii="方正楷体_GB2312" w:hAnsi="方正楷体_GB2312" w:eastAsia="方正楷体_GB2312" w:cs="方正楷体_GB2312"/>
              <w:sz w:val="24"/>
              <w:szCs w:val="24"/>
            </w:rPr>
            <w:instrText xml:space="preserve"> PAGEREF _Toc581148126 </w:instrText>
          </w:r>
          <w:r>
            <w:rPr>
              <w:rFonts w:hint="eastAsia" w:ascii="方正楷体_GB2312" w:hAnsi="方正楷体_GB2312" w:eastAsia="方正楷体_GB2312" w:cs="方正楷体_GB2312"/>
              <w:sz w:val="24"/>
              <w:szCs w:val="24"/>
            </w:rPr>
            <w:fldChar w:fldCharType="separate"/>
          </w:r>
          <w:r>
            <w:rPr>
              <w:rFonts w:hint="eastAsia" w:ascii="方正楷体_GB2312" w:hAnsi="方正楷体_GB2312" w:eastAsia="方正楷体_GB2312" w:cs="方正楷体_GB2312"/>
              <w:sz w:val="24"/>
              <w:szCs w:val="24"/>
            </w:rPr>
            <w:t>8</w:t>
          </w:r>
          <w:r>
            <w:rPr>
              <w:rFonts w:hint="eastAsia" w:ascii="方正楷体_GB2312" w:hAnsi="方正楷体_GB2312" w:eastAsia="方正楷体_GB2312" w:cs="方正楷体_GB2312"/>
              <w:sz w:val="24"/>
              <w:szCs w:val="24"/>
            </w:rPr>
            <w:fldChar w:fldCharType="end"/>
          </w:r>
          <w:r>
            <w:rPr>
              <w:rFonts w:hint="eastAsia" w:ascii="方正楷体_GB2312" w:hAnsi="方正楷体_GB2312" w:eastAsia="方正楷体_GB2312" w:cs="方正楷体_GB2312"/>
              <w:bCs/>
              <w:color w:val="auto"/>
              <w:sz w:val="24"/>
              <w:szCs w:val="24"/>
              <w:lang w:val="zh-CN"/>
            </w:rPr>
            <w:fldChar w:fldCharType="end"/>
          </w:r>
        </w:p>
        <w:p>
          <w:pPr>
            <w:pStyle w:val="12"/>
            <w:tabs>
              <w:tab w:val="right" w:leader="dot" w:pos="8504"/>
            </w:tabs>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Cs/>
              <w:color w:val="auto"/>
              <w:sz w:val="24"/>
              <w:szCs w:val="24"/>
              <w:lang w:val="zh-CN"/>
            </w:rPr>
            <w:fldChar w:fldCharType="begin"/>
          </w:r>
          <w:r>
            <w:rPr>
              <w:rFonts w:hint="eastAsia" w:ascii="方正楷体_GB2312" w:hAnsi="方正楷体_GB2312" w:eastAsia="方正楷体_GB2312" w:cs="方正楷体_GB2312"/>
              <w:bCs/>
              <w:sz w:val="24"/>
              <w:szCs w:val="24"/>
              <w:lang w:val="zh-CN"/>
            </w:rPr>
            <w:instrText xml:space="preserve"> HYPERLINK \l _Toc1503501634 </w:instrText>
          </w:r>
          <w:r>
            <w:rPr>
              <w:rFonts w:hint="eastAsia" w:ascii="方正楷体_GB2312" w:hAnsi="方正楷体_GB2312" w:eastAsia="方正楷体_GB2312" w:cs="方正楷体_GB2312"/>
              <w:bCs/>
              <w:sz w:val="24"/>
              <w:szCs w:val="24"/>
              <w:lang w:val="zh-CN"/>
            </w:rPr>
            <w:fldChar w:fldCharType="separate"/>
          </w:r>
          <w:r>
            <w:rPr>
              <w:rFonts w:hint="eastAsia" w:ascii="方正楷体_GB2312" w:hAnsi="方正楷体_GB2312" w:eastAsia="方正楷体_GB2312" w:cs="方正楷体_GB2312"/>
              <w:sz w:val="24"/>
              <w:szCs w:val="24"/>
              <w:lang w:eastAsia="zh-CN"/>
            </w:rPr>
            <w:t>（</w:t>
          </w:r>
          <w:r>
            <w:rPr>
              <w:rFonts w:hint="eastAsia" w:ascii="方正楷体_GB2312" w:hAnsi="方正楷体_GB2312" w:eastAsia="方正楷体_GB2312" w:cs="方正楷体_GB2312"/>
              <w:sz w:val="24"/>
              <w:szCs w:val="24"/>
              <w:lang w:val="en-US" w:eastAsia="zh-CN"/>
            </w:rPr>
            <w:t>一</w:t>
          </w:r>
          <w:r>
            <w:rPr>
              <w:rFonts w:hint="eastAsia" w:ascii="方正楷体_GB2312" w:hAnsi="方正楷体_GB2312" w:eastAsia="方正楷体_GB2312" w:cs="方正楷体_GB2312"/>
              <w:sz w:val="24"/>
              <w:szCs w:val="24"/>
              <w:lang w:eastAsia="zh-CN"/>
            </w:rPr>
            <w:t>）</w:t>
          </w:r>
          <w:r>
            <w:rPr>
              <w:rFonts w:hint="eastAsia" w:ascii="方正楷体_GB2312" w:hAnsi="方正楷体_GB2312" w:eastAsia="方正楷体_GB2312" w:cs="方正楷体_GB2312"/>
              <w:sz w:val="24"/>
              <w:szCs w:val="24"/>
            </w:rPr>
            <w:t>推动金融科技机构高水平集聚</w:t>
          </w:r>
          <w:r>
            <w:rPr>
              <w:rFonts w:hint="eastAsia" w:ascii="方正楷体_GB2312" w:hAnsi="方正楷体_GB2312" w:eastAsia="方正楷体_GB2312" w:cs="方正楷体_GB2312"/>
              <w:sz w:val="24"/>
              <w:szCs w:val="24"/>
            </w:rPr>
            <w:tab/>
          </w:r>
          <w:r>
            <w:rPr>
              <w:rFonts w:hint="eastAsia" w:ascii="方正楷体_GB2312" w:hAnsi="方正楷体_GB2312" w:eastAsia="方正楷体_GB2312" w:cs="方正楷体_GB2312"/>
              <w:sz w:val="24"/>
              <w:szCs w:val="24"/>
            </w:rPr>
            <w:fldChar w:fldCharType="begin"/>
          </w:r>
          <w:r>
            <w:rPr>
              <w:rFonts w:hint="eastAsia" w:ascii="方正楷体_GB2312" w:hAnsi="方正楷体_GB2312" w:eastAsia="方正楷体_GB2312" w:cs="方正楷体_GB2312"/>
              <w:sz w:val="24"/>
              <w:szCs w:val="24"/>
            </w:rPr>
            <w:instrText xml:space="preserve"> PAGEREF _Toc1503501634 </w:instrText>
          </w:r>
          <w:r>
            <w:rPr>
              <w:rFonts w:hint="eastAsia" w:ascii="方正楷体_GB2312" w:hAnsi="方正楷体_GB2312" w:eastAsia="方正楷体_GB2312" w:cs="方正楷体_GB2312"/>
              <w:sz w:val="24"/>
              <w:szCs w:val="24"/>
            </w:rPr>
            <w:fldChar w:fldCharType="separate"/>
          </w:r>
          <w:r>
            <w:rPr>
              <w:rFonts w:hint="eastAsia" w:ascii="方正楷体_GB2312" w:hAnsi="方正楷体_GB2312" w:eastAsia="方正楷体_GB2312" w:cs="方正楷体_GB2312"/>
              <w:sz w:val="24"/>
              <w:szCs w:val="24"/>
            </w:rPr>
            <w:t>8</w:t>
          </w:r>
          <w:r>
            <w:rPr>
              <w:rFonts w:hint="eastAsia" w:ascii="方正楷体_GB2312" w:hAnsi="方正楷体_GB2312" w:eastAsia="方正楷体_GB2312" w:cs="方正楷体_GB2312"/>
              <w:sz w:val="24"/>
              <w:szCs w:val="24"/>
            </w:rPr>
            <w:fldChar w:fldCharType="end"/>
          </w:r>
          <w:r>
            <w:rPr>
              <w:rFonts w:hint="eastAsia" w:ascii="方正楷体_GB2312" w:hAnsi="方正楷体_GB2312" w:eastAsia="方正楷体_GB2312" w:cs="方正楷体_GB2312"/>
              <w:bCs/>
              <w:color w:val="auto"/>
              <w:sz w:val="24"/>
              <w:szCs w:val="24"/>
              <w:lang w:val="zh-CN"/>
            </w:rPr>
            <w:fldChar w:fldCharType="end"/>
          </w:r>
        </w:p>
        <w:p>
          <w:pPr>
            <w:pStyle w:val="12"/>
            <w:tabs>
              <w:tab w:val="right" w:leader="dot" w:pos="8504"/>
            </w:tabs>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Cs/>
              <w:color w:val="auto"/>
              <w:sz w:val="24"/>
              <w:szCs w:val="24"/>
              <w:lang w:val="zh-CN"/>
            </w:rPr>
            <w:fldChar w:fldCharType="begin"/>
          </w:r>
          <w:r>
            <w:rPr>
              <w:rFonts w:hint="eastAsia" w:ascii="方正楷体_GB2312" w:hAnsi="方正楷体_GB2312" w:eastAsia="方正楷体_GB2312" w:cs="方正楷体_GB2312"/>
              <w:bCs/>
              <w:sz w:val="24"/>
              <w:szCs w:val="24"/>
              <w:lang w:val="zh-CN"/>
            </w:rPr>
            <w:instrText xml:space="preserve"> HYPERLINK \l _Toc1121591465 </w:instrText>
          </w:r>
          <w:r>
            <w:rPr>
              <w:rFonts w:hint="eastAsia" w:ascii="方正楷体_GB2312" w:hAnsi="方正楷体_GB2312" w:eastAsia="方正楷体_GB2312" w:cs="方正楷体_GB2312"/>
              <w:bCs/>
              <w:sz w:val="24"/>
              <w:szCs w:val="24"/>
              <w:lang w:val="zh-CN"/>
            </w:rPr>
            <w:fldChar w:fldCharType="separate"/>
          </w:r>
          <w:r>
            <w:rPr>
              <w:rFonts w:hint="eastAsia" w:ascii="方正楷体_GB2312" w:hAnsi="方正楷体_GB2312" w:eastAsia="方正楷体_GB2312" w:cs="方正楷体_GB2312"/>
              <w:sz w:val="24"/>
              <w:szCs w:val="24"/>
              <w:lang w:eastAsia="zh-CN"/>
            </w:rPr>
            <w:t>（</w:t>
          </w:r>
          <w:r>
            <w:rPr>
              <w:rFonts w:hint="eastAsia" w:ascii="方正楷体_GB2312" w:hAnsi="方正楷体_GB2312" w:eastAsia="方正楷体_GB2312" w:cs="方正楷体_GB2312"/>
              <w:sz w:val="24"/>
              <w:szCs w:val="24"/>
              <w:lang w:val="en-US" w:eastAsia="zh-CN"/>
            </w:rPr>
            <w:t>二</w:t>
          </w:r>
          <w:r>
            <w:rPr>
              <w:rFonts w:hint="eastAsia" w:ascii="方正楷体_GB2312" w:hAnsi="方正楷体_GB2312" w:eastAsia="方正楷体_GB2312" w:cs="方正楷体_GB2312"/>
              <w:sz w:val="24"/>
              <w:szCs w:val="24"/>
              <w:lang w:eastAsia="zh-CN"/>
            </w:rPr>
            <w:t>）促进金融科技特色应用集中涌现</w:t>
          </w:r>
          <w:r>
            <w:rPr>
              <w:rFonts w:hint="eastAsia" w:ascii="方正楷体_GB2312" w:hAnsi="方正楷体_GB2312" w:eastAsia="方正楷体_GB2312" w:cs="方正楷体_GB2312"/>
              <w:sz w:val="24"/>
              <w:szCs w:val="24"/>
            </w:rPr>
            <w:tab/>
          </w:r>
          <w:r>
            <w:rPr>
              <w:rFonts w:hint="eastAsia" w:ascii="方正楷体_GB2312" w:hAnsi="方正楷体_GB2312" w:eastAsia="方正楷体_GB2312" w:cs="方正楷体_GB2312"/>
              <w:sz w:val="24"/>
              <w:szCs w:val="24"/>
            </w:rPr>
            <w:fldChar w:fldCharType="begin"/>
          </w:r>
          <w:r>
            <w:rPr>
              <w:rFonts w:hint="eastAsia" w:ascii="方正楷体_GB2312" w:hAnsi="方正楷体_GB2312" w:eastAsia="方正楷体_GB2312" w:cs="方正楷体_GB2312"/>
              <w:sz w:val="24"/>
              <w:szCs w:val="24"/>
            </w:rPr>
            <w:instrText xml:space="preserve"> PAGEREF _Toc1121591465 </w:instrText>
          </w:r>
          <w:r>
            <w:rPr>
              <w:rFonts w:hint="eastAsia" w:ascii="方正楷体_GB2312" w:hAnsi="方正楷体_GB2312" w:eastAsia="方正楷体_GB2312" w:cs="方正楷体_GB2312"/>
              <w:sz w:val="24"/>
              <w:szCs w:val="24"/>
            </w:rPr>
            <w:fldChar w:fldCharType="separate"/>
          </w:r>
          <w:r>
            <w:rPr>
              <w:rFonts w:hint="eastAsia" w:ascii="方正楷体_GB2312" w:hAnsi="方正楷体_GB2312" w:eastAsia="方正楷体_GB2312" w:cs="方正楷体_GB2312"/>
              <w:sz w:val="24"/>
              <w:szCs w:val="24"/>
            </w:rPr>
            <w:t>12</w:t>
          </w:r>
          <w:r>
            <w:rPr>
              <w:rFonts w:hint="eastAsia" w:ascii="方正楷体_GB2312" w:hAnsi="方正楷体_GB2312" w:eastAsia="方正楷体_GB2312" w:cs="方正楷体_GB2312"/>
              <w:sz w:val="24"/>
              <w:szCs w:val="24"/>
            </w:rPr>
            <w:fldChar w:fldCharType="end"/>
          </w:r>
          <w:r>
            <w:rPr>
              <w:rFonts w:hint="eastAsia" w:ascii="方正楷体_GB2312" w:hAnsi="方正楷体_GB2312" w:eastAsia="方正楷体_GB2312" w:cs="方正楷体_GB2312"/>
              <w:bCs/>
              <w:color w:val="auto"/>
              <w:sz w:val="24"/>
              <w:szCs w:val="24"/>
              <w:lang w:val="zh-CN"/>
            </w:rPr>
            <w:fldChar w:fldCharType="end"/>
          </w:r>
        </w:p>
        <w:p>
          <w:pPr>
            <w:pStyle w:val="12"/>
            <w:tabs>
              <w:tab w:val="right" w:leader="dot" w:pos="8504"/>
            </w:tabs>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Cs/>
              <w:color w:val="auto"/>
              <w:sz w:val="24"/>
              <w:szCs w:val="24"/>
              <w:lang w:val="zh-CN"/>
            </w:rPr>
            <w:fldChar w:fldCharType="begin"/>
          </w:r>
          <w:r>
            <w:rPr>
              <w:rFonts w:hint="eastAsia" w:ascii="方正楷体_GB2312" w:hAnsi="方正楷体_GB2312" w:eastAsia="方正楷体_GB2312" w:cs="方正楷体_GB2312"/>
              <w:bCs/>
              <w:sz w:val="24"/>
              <w:szCs w:val="24"/>
              <w:lang w:val="zh-CN"/>
            </w:rPr>
            <w:instrText xml:space="preserve"> HYPERLINK \l _Toc1142378843 </w:instrText>
          </w:r>
          <w:r>
            <w:rPr>
              <w:rFonts w:hint="eastAsia" w:ascii="方正楷体_GB2312" w:hAnsi="方正楷体_GB2312" w:eastAsia="方正楷体_GB2312" w:cs="方正楷体_GB2312"/>
              <w:bCs/>
              <w:sz w:val="24"/>
              <w:szCs w:val="24"/>
              <w:lang w:val="zh-CN"/>
            </w:rPr>
            <w:fldChar w:fldCharType="separate"/>
          </w:r>
          <w:r>
            <w:rPr>
              <w:rFonts w:hint="eastAsia" w:ascii="方正楷体_GB2312" w:hAnsi="方正楷体_GB2312" w:eastAsia="方正楷体_GB2312" w:cs="方正楷体_GB2312"/>
              <w:sz w:val="24"/>
              <w:szCs w:val="24"/>
              <w:lang w:eastAsia="zh-CN"/>
            </w:rPr>
            <w:t>（</w:t>
          </w:r>
          <w:r>
            <w:rPr>
              <w:rFonts w:hint="eastAsia" w:ascii="方正楷体_GB2312" w:hAnsi="方正楷体_GB2312" w:eastAsia="方正楷体_GB2312" w:cs="方正楷体_GB2312"/>
              <w:sz w:val="24"/>
              <w:szCs w:val="24"/>
              <w:lang w:val="en-US" w:eastAsia="zh-CN"/>
            </w:rPr>
            <w:t>三</w:t>
          </w:r>
          <w:r>
            <w:rPr>
              <w:rFonts w:hint="eastAsia" w:ascii="方正楷体_GB2312" w:hAnsi="方正楷体_GB2312" w:eastAsia="方正楷体_GB2312" w:cs="方正楷体_GB2312"/>
              <w:sz w:val="24"/>
              <w:szCs w:val="24"/>
              <w:lang w:eastAsia="zh-CN"/>
            </w:rPr>
            <w:t>）完善金融科技基础设施载体</w:t>
          </w:r>
          <w:r>
            <w:rPr>
              <w:rFonts w:hint="eastAsia" w:ascii="方正楷体_GB2312" w:hAnsi="方正楷体_GB2312" w:eastAsia="方正楷体_GB2312" w:cs="方正楷体_GB2312"/>
              <w:sz w:val="24"/>
              <w:szCs w:val="24"/>
            </w:rPr>
            <w:tab/>
          </w:r>
          <w:r>
            <w:rPr>
              <w:rFonts w:hint="eastAsia" w:ascii="方正楷体_GB2312" w:hAnsi="方正楷体_GB2312" w:eastAsia="方正楷体_GB2312" w:cs="方正楷体_GB2312"/>
              <w:sz w:val="24"/>
              <w:szCs w:val="24"/>
            </w:rPr>
            <w:fldChar w:fldCharType="begin"/>
          </w:r>
          <w:r>
            <w:rPr>
              <w:rFonts w:hint="eastAsia" w:ascii="方正楷体_GB2312" w:hAnsi="方正楷体_GB2312" w:eastAsia="方正楷体_GB2312" w:cs="方正楷体_GB2312"/>
              <w:sz w:val="24"/>
              <w:szCs w:val="24"/>
            </w:rPr>
            <w:instrText xml:space="preserve"> PAGEREF _Toc1142378843 </w:instrText>
          </w:r>
          <w:r>
            <w:rPr>
              <w:rFonts w:hint="eastAsia" w:ascii="方正楷体_GB2312" w:hAnsi="方正楷体_GB2312" w:eastAsia="方正楷体_GB2312" w:cs="方正楷体_GB2312"/>
              <w:sz w:val="24"/>
              <w:szCs w:val="24"/>
            </w:rPr>
            <w:fldChar w:fldCharType="separate"/>
          </w:r>
          <w:r>
            <w:rPr>
              <w:rFonts w:hint="eastAsia" w:ascii="方正楷体_GB2312" w:hAnsi="方正楷体_GB2312" w:eastAsia="方正楷体_GB2312" w:cs="方正楷体_GB2312"/>
              <w:sz w:val="24"/>
              <w:szCs w:val="24"/>
            </w:rPr>
            <w:t>15</w:t>
          </w:r>
          <w:r>
            <w:rPr>
              <w:rFonts w:hint="eastAsia" w:ascii="方正楷体_GB2312" w:hAnsi="方正楷体_GB2312" w:eastAsia="方正楷体_GB2312" w:cs="方正楷体_GB2312"/>
              <w:sz w:val="24"/>
              <w:szCs w:val="24"/>
            </w:rPr>
            <w:fldChar w:fldCharType="end"/>
          </w:r>
          <w:r>
            <w:rPr>
              <w:rFonts w:hint="eastAsia" w:ascii="方正楷体_GB2312" w:hAnsi="方正楷体_GB2312" w:eastAsia="方正楷体_GB2312" w:cs="方正楷体_GB2312"/>
              <w:bCs/>
              <w:color w:val="auto"/>
              <w:sz w:val="24"/>
              <w:szCs w:val="24"/>
              <w:lang w:val="zh-CN"/>
            </w:rPr>
            <w:fldChar w:fldCharType="end"/>
          </w:r>
        </w:p>
        <w:p>
          <w:pPr>
            <w:pStyle w:val="12"/>
            <w:tabs>
              <w:tab w:val="right" w:leader="dot" w:pos="8504"/>
            </w:tabs>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Cs/>
              <w:color w:val="auto"/>
              <w:sz w:val="24"/>
              <w:szCs w:val="24"/>
              <w:lang w:val="zh-CN"/>
            </w:rPr>
            <w:fldChar w:fldCharType="begin"/>
          </w:r>
          <w:r>
            <w:rPr>
              <w:rFonts w:hint="eastAsia" w:ascii="方正楷体_GB2312" w:hAnsi="方正楷体_GB2312" w:eastAsia="方正楷体_GB2312" w:cs="方正楷体_GB2312"/>
              <w:bCs/>
              <w:sz w:val="24"/>
              <w:szCs w:val="24"/>
              <w:lang w:val="zh-CN"/>
            </w:rPr>
            <w:instrText xml:space="preserve"> HYPERLINK \l _Toc1140215956 </w:instrText>
          </w:r>
          <w:r>
            <w:rPr>
              <w:rFonts w:hint="eastAsia" w:ascii="方正楷体_GB2312" w:hAnsi="方正楷体_GB2312" w:eastAsia="方正楷体_GB2312" w:cs="方正楷体_GB2312"/>
              <w:bCs/>
              <w:sz w:val="24"/>
              <w:szCs w:val="24"/>
              <w:lang w:val="zh-CN"/>
            </w:rPr>
            <w:fldChar w:fldCharType="separate"/>
          </w:r>
          <w:r>
            <w:rPr>
              <w:rFonts w:hint="eastAsia" w:ascii="方正楷体_GB2312" w:hAnsi="方正楷体_GB2312" w:eastAsia="方正楷体_GB2312" w:cs="方正楷体_GB2312"/>
              <w:sz w:val="24"/>
              <w:szCs w:val="24"/>
              <w:lang w:eastAsia="zh-CN"/>
            </w:rPr>
            <w:t>（</w:t>
          </w:r>
          <w:r>
            <w:rPr>
              <w:rFonts w:hint="eastAsia" w:ascii="方正楷体_GB2312" w:hAnsi="方正楷体_GB2312" w:eastAsia="方正楷体_GB2312" w:cs="方正楷体_GB2312"/>
              <w:sz w:val="24"/>
              <w:szCs w:val="24"/>
              <w:lang w:val="en-US" w:eastAsia="zh-CN"/>
            </w:rPr>
            <w:t>四</w:t>
          </w:r>
          <w:r>
            <w:rPr>
              <w:rFonts w:hint="eastAsia" w:ascii="方正楷体_GB2312" w:hAnsi="方正楷体_GB2312" w:eastAsia="方正楷体_GB2312" w:cs="方正楷体_GB2312"/>
              <w:sz w:val="24"/>
              <w:szCs w:val="24"/>
              <w:lang w:eastAsia="zh-CN"/>
            </w:rPr>
            <w:t>）支持金融科技技术研发</w:t>
          </w:r>
          <w:r>
            <w:rPr>
              <w:rFonts w:hint="eastAsia" w:ascii="方正楷体_GB2312" w:hAnsi="方正楷体_GB2312" w:eastAsia="方正楷体_GB2312" w:cs="方正楷体_GB2312"/>
              <w:sz w:val="24"/>
              <w:szCs w:val="24"/>
              <w:lang w:val="en-US" w:eastAsia="zh-CN"/>
            </w:rPr>
            <w:t>应用</w:t>
          </w:r>
          <w:r>
            <w:rPr>
              <w:rFonts w:hint="eastAsia" w:ascii="方正楷体_GB2312" w:hAnsi="方正楷体_GB2312" w:eastAsia="方正楷体_GB2312" w:cs="方正楷体_GB2312"/>
              <w:sz w:val="24"/>
              <w:szCs w:val="24"/>
            </w:rPr>
            <w:tab/>
          </w:r>
          <w:r>
            <w:rPr>
              <w:rFonts w:hint="eastAsia" w:ascii="方正楷体_GB2312" w:hAnsi="方正楷体_GB2312" w:eastAsia="方正楷体_GB2312" w:cs="方正楷体_GB2312"/>
              <w:sz w:val="24"/>
              <w:szCs w:val="24"/>
            </w:rPr>
            <w:fldChar w:fldCharType="begin"/>
          </w:r>
          <w:r>
            <w:rPr>
              <w:rFonts w:hint="eastAsia" w:ascii="方正楷体_GB2312" w:hAnsi="方正楷体_GB2312" w:eastAsia="方正楷体_GB2312" w:cs="方正楷体_GB2312"/>
              <w:sz w:val="24"/>
              <w:szCs w:val="24"/>
            </w:rPr>
            <w:instrText xml:space="preserve"> PAGEREF _Toc1140215956 </w:instrText>
          </w:r>
          <w:r>
            <w:rPr>
              <w:rFonts w:hint="eastAsia" w:ascii="方正楷体_GB2312" w:hAnsi="方正楷体_GB2312" w:eastAsia="方正楷体_GB2312" w:cs="方正楷体_GB2312"/>
              <w:sz w:val="24"/>
              <w:szCs w:val="24"/>
            </w:rPr>
            <w:fldChar w:fldCharType="separate"/>
          </w:r>
          <w:r>
            <w:rPr>
              <w:rFonts w:hint="eastAsia" w:ascii="方正楷体_GB2312" w:hAnsi="方正楷体_GB2312" w:eastAsia="方正楷体_GB2312" w:cs="方正楷体_GB2312"/>
              <w:sz w:val="24"/>
              <w:szCs w:val="24"/>
            </w:rPr>
            <w:t>17</w:t>
          </w:r>
          <w:r>
            <w:rPr>
              <w:rFonts w:hint="eastAsia" w:ascii="方正楷体_GB2312" w:hAnsi="方正楷体_GB2312" w:eastAsia="方正楷体_GB2312" w:cs="方正楷体_GB2312"/>
              <w:sz w:val="24"/>
              <w:szCs w:val="24"/>
            </w:rPr>
            <w:fldChar w:fldCharType="end"/>
          </w:r>
          <w:r>
            <w:rPr>
              <w:rFonts w:hint="eastAsia" w:ascii="方正楷体_GB2312" w:hAnsi="方正楷体_GB2312" w:eastAsia="方正楷体_GB2312" w:cs="方正楷体_GB2312"/>
              <w:bCs/>
              <w:color w:val="auto"/>
              <w:sz w:val="24"/>
              <w:szCs w:val="24"/>
              <w:lang w:val="zh-CN"/>
            </w:rPr>
            <w:fldChar w:fldCharType="end"/>
          </w:r>
        </w:p>
        <w:p>
          <w:pPr>
            <w:pStyle w:val="12"/>
            <w:tabs>
              <w:tab w:val="right" w:leader="dot" w:pos="8504"/>
            </w:tabs>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Cs/>
              <w:color w:val="auto"/>
              <w:sz w:val="24"/>
              <w:szCs w:val="24"/>
              <w:lang w:val="zh-CN"/>
            </w:rPr>
            <w:fldChar w:fldCharType="begin"/>
          </w:r>
          <w:r>
            <w:rPr>
              <w:rFonts w:hint="eastAsia" w:ascii="方正楷体_GB2312" w:hAnsi="方正楷体_GB2312" w:eastAsia="方正楷体_GB2312" w:cs="方正楷体_GB2312"/>
              <w:bCs/>
              <w:sz w:val="24"/>
              <w:szCs w:val="24"/>
              <w:lang w:val="zh-CN"/>
            </w:rPr>
            <w:instrText xml:space="preserve"> HYPERLINK \l _Toc1194687781 </w:instrText>
          </w:r>
          <w:r>
            <w:rPr>
              <w:rFonts w:hint="eastAsia" w:ascii="方正楷体_GB2312" w:hAnsi="方正楷体_GB2312" w:eastAsia="方正楷体_GB2312" w:cs="方正楷体_GB2312"/>
              <w:bCs/>
              <w:sz w:val="24"/>
              <w:szCs w:val="24"/>
              <w:lang w:val="zh-CN"/>
            </w:rPr>
            <w:fldChar w:fldCharType="separate"/>
          </w:r>
          <w:r>
            <w:rPr>
              <w:rFonts w:hint="eastAsia" w:ascii="方正楷体_GB2312" w:hAnsi="方正楷体_GB2312" w:eastAsia="方正楷体_GB2312" w:cs="方正楷体_GB2312"/>
              <w:sz w:val="24"/>
              <w:szCs w:val="24"/>
              <w:lang w:eastAsia="zh-CN"/>
            </w:rPr>
            <w:t>（</w:t>
          </w:r>
          <w:r>
            <w:rPr>
              <w:rFonts w:hint="eastAsia" w:ascii="方正楷体_GB2312" w:hAnsi="方正楷体_GB2312" w:eastAsia="方正楷体_GB2312" w:cs="方正楷体_GB2312"/>
              <w:sz w:val="24"/>
              <w:szCs w:val="24"/>
              <w:lang w:val="en-US" w:eastAsia="zh-CN"/>
            </w:rPr>
            <w:t>五</w:t>
          </w:r>
          <w:r>
            <w:rPr>
              <w:rFonts w:hint="eastAsia" w:ascii="方正楷体_GB2312" w:hAnsi="方正楷体_GB2312" w:eastAsia="方正楷体_GB2312" w:cs="方正楷体_GB2312"/>
              <w:sz w:val="24"/>
              <w:szCs w:val="24"/>
              <w:lang w:eastAsia="zh-CN"/>
            </w:rPr>
            <w:t>）</w:t>
          </w:r>
          <w:r>
            <w:rPr>
              <w:rFonts w:hint="eastAsia" w:ascii="方正楷体_GB2312" w:hAnsi="方正楷体_GB2312" w:eastAsia="方正楷体_GB2312" w:cs="方正楷体_GB2312"/>
              <w:sz w:val="24"/>
              <w:szCs w:val="24"/>
              <w:lang w:val="en-US" w:eastAsia="zh-CN"/>
            </w:rPr>
            <w:t>加强</w:t>
          </w:r>
          <w:r>
            <w:rPr>
              <w:rFonts w:hint="eastAsia" w:ascii="方正楷体_GB2312" w:hAnsi="方正楷体_GB2312" w:eastAsia="方正楷体_GB2312" w:cs="方正楷体_GB2312"/>
              <w:sz w:val="24"/>
              <w:szCs w:val="24"/>
              <w:lang w:eastAsia="zh-CN"/>
            </w:rPr>
            <w:t>金融科技专业人才</w:t>
          </w:r>
          <w:r>
            <w:rPr>
              <w:rFonts w:hint="eastAsia" w:ascii="方正楷体_GB2312" w:hAnsi="方正楷体_GB2312" w:eastAsia="方正楷体_GB2312" w:cs="方正楷体_GB2312"/>
              <w:sz w:val="24"/>
              <w:szCs w:val="24"/>
              <w:lang w:val="en-US" w:eastAsia="zh-CN"/>
            </w:rPr>
            <w:t>培养</w:t>
          </w:r>
          <w:r>
            <w:rPr>
              <w:rFonts w:hint="eastAsia" w:ascii="方正楷体_GB2312" w:hAnsi="方正楷体_GB2312" w:eastAsia="方正楷体_GB2312" w:cs="方正楷体_GB2312"/>
              <w:sz w:val="24"/>
              <w:szCs w:val="24"/>
            </w:rPr>
            <w:tab/>
          </w:r>
          <w:r>
            <w:rPr>
              <w:rFonts w:hint="eastAsia" w:ascii="方正楷体_GB2312" w:hAnsi="方正楷体_GB2312" w:eastAsia="方正楷体_GB2312" w:cs="方正楷体_GB2312"/>
              <w:sz w:val="24"/>
              <w:szCs w:val="24"/>
            </w:rPr>
            <w:fldChar w:fldCharType="begin"/>
          </w:r>
          <w:r>
            <w:rPr>
              <w:rFonts w:hint="eastAsia" w:ascii="方正楷体_GB2312" w:hAnsi="方正楷体_GB2312" w:eastAsia="方正楷体_GB2312" w:cs="方正楷体_GB2312"/>
              <w:sz w:val="24"/>
              <w:szCs w:val="24"/>
            </w:rPr>
            <w:instrText xml:space="preserve"> PAGEREF _Toc1194687781 </w:instrText>
          </w:r>
          <w:r>
            <w:rPr>
              <w:rFonts w:hint="eastAsia" w:ascii="方正楷体_GB2312" w:hAnsi="方正楷体_GB2312" w:eastAsia="方正楷体_GB2312" w:cs="方正楷体_GB2312"/>
              <w:sz w:val="24"/>
              <w:szCs w:val="24"/>
            </w:rPr>
            <w:fldChar w:fldCharType="separate"/>
          </w:r>
          <w:r>
            <w:rPr>
              <w:rFonts w:hint="eastAsia" w:ascii="方正楷体_GB2312" w:hAnsi="方正楷体_GB2312" w:eastAsia="方正楷体_GB2312" w:cs="方正楷体_GB2312"/>
              <w:sz w:val="24"/>
              <w:szCs w:val="24"/>
            </w:rPr>
            <w:t>18</w:t>
          </w:r>
          <w:r>
            <w:rPr>
              <w:rFonts w:hint="eastAsia" w:ascii="方正楷体_GB2312" w:hAnsi="方正楷体_GB2312" w:eastAsia="方正楷体_GB2312" w:cs="方正楷体_GB2312"/>
              <w:sz w:val="24"/>
              <w:szCs w:val="24"/>
            </w:rPr>
            <w:fldChar w:fldCharType="end"/>
          </w:r>
          <w:r>
            <w:rPr>
              <w:rFonts w:hint="eastAsia" w:ascii="方正楷体_GB2312" w:hAnsi="方正楷体_GB2312" w:eastAsia="方正楷体_GB2312" w:cs="方正楷体_GB2312"/>
              <w:bCs/>
              <w:color w:val="auto"/>
              <w:sz w:val="24"/>
              <w:szCs w:val="24"/>
              <w:lang w:val="zh-CN"/>
            </w:rPr>
            <w:fldChar w:fldCharType="end"/>
          </w:r>
        </w:p>
        <w:p>
          <w:pPr>
            <w:pStyle w:val="12"/>
            <w:tabs>
              <w:tab w:val="right" w:leader="dot" w:pos="8504"/>
            </w:tabs>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Cs/>
              <w:color w:val="auto"/>
              <w:sz w:val="24"/>
              <w:szCs w:val="24"/>
              <w:lang w:val="zh-CN"/>
            </w:rPr>
            <w:fldChar w:fldCharType="begin"/>
          </w:r>
          <w:r>
            <w:rPr>
              <w:rFonts w:hint="eastAsia" w:ascii="方正楷体_GB2312" w:hAnsi="方正楷体_GB2312" w:eastAsia="方正楷体_GB2312" w:cs="方正楷体_GB2312"/>
              <w:bCs/>
              <w:sz w:val="24"/>
              <w:szCs w:val="24"/>
              <w:lang w:val="zh-CN"/>
            </w:rPr>
            <w:instrText xml:space="preserve"> HYPERLINK \l _Toc1598461119 </w:instrText>
          </w:r>
          <w:r>
            <w:rPr>
              <w:rFonts w:hint="eastAsia" w:ascii="方正楷体_GB2312" w:hAnsi="方正楷体_GB2312" w:eastAsia="方正楷体_GB2312" w:cs="方正楷体_GB2312"/>
              <w:bCs/>
              <w:sz w:val="24"/>
              <w:szCs w:val="24"/>
              <w:lang w:val="zh-CN"/>
            </w:rPr>
            <w:fldChar w:fldCharType="separate"/>
          </w:r>
          <w:r>
            <w:rPr>
              <w:rFonts w:hint="eastAsia" w:ascii="方正楷体_GB2312" w:hAnsi="方正楷体_GB2312" w:eastAsia="方正楷体_GB2312" w:cs="方正楷体_GB2312"/>
              <w:sz w:val="24"/>
              <w:szCs w:val="24"/>
              <w:lang w:eastAsia="zh-CN"/>
            </w:rPr>
            <w:t>（</w:t>
          </w:r>
          <w:r>
            <w:rPr>
              <w:rFonts w:hint="eastAsia" w:ascii="方正楷体_GB2312" w:hAnsi="方正楷体_GB2312" w:eastAsia="方正楷体_GB2312" w:cs="方正楷体_GB2312"/>
              <w:sz w:val="24"/>
              <w:szCs w:val="24"/>
              <w:lang w:val="en-US" w:eastAsia="zh-CN"/>
            </w:rPr>
            <w:t>六）健全</w:t>
          </w:r>
          <w:r>
            <w:rPr>
              <w:rFonts w:hint="eastAsia" w:ascii="方正楷体_GB2312" w:hAnsi="方正楷体_GB2312" w:eastAsia="方正楷体_GB2312" w:cs="方正楷体_GB2312"/>
              <w:sz w:val="24"/>
              <w:szCs w:val="24"/>
              <w:lang w:eastAsia="zh-CN"/>
            </w:rPr>
            <w:t>金融科技投融资体系</w:t>
          </w:r>
          <w:r>
            <w:rPr>
              <w:rFonts w:hint="eastAsia" w:ascii="方正楷体_GB2312" w:hAnsi="方正楷体_GB2312" w:eastAsia="方正楷体_GB2312" w:cs="方正楷体_GB2312"/>
              <w:sz w:val="24"/>
              <w:szCs w:val="24"/>
            </w:rPr>
            <w:tab/>
          </w:r>
          <w:r>
            <w:rPr>
              <w:rFonts w:hint="eastAsia" w:ascii="方正楷体_GB2312" w:hAnsi="方正楷体_GB2312" w:eastAsia="方正楷体_GB2312" w:cs="方正楷体_GB2312"/>
              <w:sz w:val="24"/>
              <w:szCs w:val="24"/>
            </w:rPr>
            <w:fldChar w:fldCharType="begin"/>
          </w:r>
          <w:r>
            <w:rPr>
              <w:rFonts w:hint="eastAsia" w:ascii="方正楷体_GB2312" w:hAnsi="方正楷体_GB2312" w:eastAsia="方正楷体_GB2312" w:cs="方正楷体_GB2312"/>
              <w:sz w:val="24"/>
              <w:szCs w:val="24"/>
            </w:rPr>
            <w:instrText xml:space="preserve"> PAGEREF _Toc1598461119 </w:instrText>
          </w:r>
          <w:r>
            <w:rPr>
              <w:rFonts w:hint="eastAsia" w:ascii="方正楷体_GB2312" w:hAnsi="方正楷体_GB2312" w:eastAsia="方正楷体_GB2312" w:cs="方正楷体_GB2312"/>
              <w:sz w:val="24"/>
              <w:szCs w:val="24"/>
            </w:rPr>
            <w:fldChar w:fldCharType="separate"/>
          </w:r>
          <w:r>
            <w:rPr>
              <w:rFonts w:hint="eastAsia" w:ascii="方正楷体_GB2312" w:hAnsi="方正楷体_GB2312" w:eastAsia="方正楷体_GB2312" w:cs="方正楷体_GB2312"/>
              <w:sz w:val="24"/>
              <w:szCs w:val="24"/>
            </w:rPr>
            <w:t>21</w:t>
          </w:r>
          <w:r>
            <w:rPr>
              <w:rFonts w:hint="eastAsia" w:ascii="方正楷体_GB2312" w:hAnsi="方正楷体_GB2312" w:eastAsia="方正楷体_GB2312" w:cs="方正楷体_GB2312"/>
              <w:sz w:val="24"/>
              <w:szCs w:val="24"/>
            </w:rPr>
            <w:fldChar w:fldCharType="end"/>
          </w:r>
          <w:r>
            <w:rPr>
              <w:rFonts w:hint="eastAsia" w:ascii="方正楷体_GB2312" w:hAnsi="方正楷体_GB2312" w:eastAsia="方正楷体_GB2312" w:cs="方正楷体_GB2312"/>
              <w:bCs/>
              <w:color w:val="auto"/>
              <w:sz w:val="24"/>
              <w:szCs w:val="24"/>
              <w:lang w:val="zh-CN"/>
            </w:rPr>
            <w:fldChar w:fldCharType="end"/>
          </w:r>
        </w:p>
        <w:p>
          <w:pPr>
            <w:pStyle w:val="12"/>
            <w:tabs>
              <w:tab w:val="right" w:leader="dot" w:pos="8504"/>
            </w:tabs>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Cs/>
              <w:color w:val="auto"/>
              <w:sz w:val="24"/>
              <w:szCs w:val="24"/>
              <w:lang w:val="zh-CN"/>
            </w:rPr>
            <w:fldChar w:fldCharType="begin"/>
          </w:r>
          <w:r>
            <w:rPr>
              <w:rFonts w:hint="eastAsia" w:ascii="方正楷体_GB2312" w:hAnsi="方正楷体_GB2312" w:eastAsia="方正楷体_GB2312" w:cs="方正楷体_GB2312"/>
              <w:bCs/>
              <w:sz w:val="24"/>
              <w:szCs w:val="24"/>
              <w:lang w:val="zh-CN"/>
            </w:rPr>
            <w:instrText xml:space="preserve"> HYPERLINK \l _Toc1570488162 </w:instrText>
          </w:r>
          <w:r>
            <w:rPr>
              <w:rFonts w:hint="eastAsia" w:ascii="方正楷体_GB2312" w:hAnsi="方正楷体_GB2312" w:eastAsia="方正楷体_GB2312" w:cs="方正楷体_GB2312"/>
              <w:bCs/>
              <w:sz w:val="24"/>
              <w:szCs w:val="24"/>
              <w:lang w:val="zh-CN"/>
            </w:rPr>
            <w:fldChar w:fldCharType="separate"/>
          </w:r>
          <w:r>
            <w:rPr>
              <w:rFonts w:hint="eastAsia" w:ascii="方正楷体_GB2312" w:hAnsi="方正楷体_GB2312" w:eastAsia="方正楷体_GB2312" w:cs="方正楷体_GB2312"/>
              <w:sz w:val="24"/>
              <w:szCs w:val="24"/>
              <w:lang w:eastAsia="zh-CN"/>
            </w:rPr>
            <w:t>（</w:t>
          </w:r>
          <w:r>
            <w:rPr>
              <w:rFonts w:hint="eastAsia" w:ascii="方正楷体_GB2312" w:hAnsi="方正楷体_GB2312" w:eastAsia="方正楷体_GB2312" w:cs="方正楷体_GB2312"/>
              <w:sz w:val="24"/>
              <w:szCs w:val="24"/>
              <w:lang w:val="en-US" w:eastAsia="zh-CN"/>
            </w:rPr>
            <w:t>七</w:t>
          </w:r>
          <w:r>
            <w:rPr>
              <w:rFonts w:hint="eastAsia" w:ascii="方正楷体_GB2312" w:hAnsi="方正楷体_GB2312" w:eastAsia="方正楷体_GB2312" w:cs="方正楷体_GB2312"/>
              <w:sz w:val="24"/>
              <w:szCs w:val="24"/>
              <w:lang w:eastAsia="zh-CN"/>
            </w:rPr>
            <w:t>）</w:t>
          </w:r>
          <w:r>
            <w:rPr>
              <w:rFonts w:hint="eastAsia" w:ascii="方正楷体_GB2312" w:hAnsi="方正楷体_GB2312" w:eastAsia="方正楷体_GB2312" w:cs="方正楷体_GB2312"/>
              <w:sz w:val="24"/>
              <w:szCs w:val="24"/>
              <w:lang w:val="en-US" w:eastAsia="zh-CN"/>
            </w:rPr>
            <w:t>加强金融科技风险防控</w:t>
          </w:r>
          <w:r>
            <w:rPr>
              <w:rFonts w:hint="eastAsia" w:ascii="方正楷体_GB2312" w:hAnsi="方正楷体_GB2312" w:eastAsia="方正楷体_GB2312" w:cs="方正楷体_GB2312"/>
              <w:sz w:val="24"/>
              <w:szCs w:val="24"/>
            </w:rPr>
            <w:tab/>
          </w:r>
          <w:r>
            <w:rPr>
              <w:rFonts w:hint="eastAsia" w:ascii="方正楷体_GB2312" w:hAnsi="方正楷体_GB2312" w:eastAsia="方正楷体_GB2312" w:cs="方正楷体_GB2312"/>
              <w:sz w:val="24"/>
              <w:szCs w:val="24"/>
            </w:rPr>
            <w:fldChar w:fldCharType="begin"/>
          </w:r>
          <w:r>
            <w:rPr>
              <w:rFonts w:hint="eastAsia" w:ascii="方正楷体_GB2312" w:hAnsi="方正楷体_GB2312" w:eastAsia="方正楷体_GB2312" w:cs="方正楷体_GB2312"/>
              <w:sz w:val="24"/>
              <w:szCs w:val="24"/>
            </w:rPr>
            <w:instrText xml:space="preserve"> PAGEREF _Toc1570488162 </w:instrText>
          </w:r>
          <w:r>
            <w:rPr>
              <w:rFonts w:hint="eastAsia" w:ascii="方正楷体_GB2312" w:hAnsi="方正楷体_GB2312" w:eastAsia="方正楷体_GB2312" w:cs="方正楷体_GB2312"/>
              <w:sz w:val="24"/>
              <w:szCs w:val="24"/>
            </w:rPr>
            <w:fldChar w:fldCharType="separate"/>
          </w:r>
          <w:r>
            <w:rPr>
              <w:rFonts w:hint="eastAsia" w:ascii="方正楷体_GB2312" w:hAnsi="方正楷体_GB2312" w:eastAsia="方正楷体_GB2312" w:cs="方正楷体_GB2312"/>
              <w:sz w:val="24"/>
              <w:szCs w:val="24"/>
            </w:rPr>
            <w:t>22</w:t>
          </w:r>
          <w:r>
            <w:rPr>
              <w:rFonts w:hint="eastAsia" w:ascii="方正楷体_GB2312" w:hAnsi="方正楷体_GB2312" w:eastAsia="方正楷体_GB2312" w:cs="方正楷体_GB2312"/>
              <w:sz w:val="24"/>
              <w:szCs w:val="24"/>
            </w:rPr>
            <w:fldChar w:fldCharType="end"/>
          </w:r>
          <w:r>
            <w:rPr>
              <w:rFonts w:hint="eastAsia" w:ascii="方正楷体_GB2312" w:hAnsi="方正楷体_GB2312" w:eastAsia="方正楷体_GB2312" w:cs="方正楷体_GB2312"/>
              <w:bCs/>
              <w:color w:val="auto"/>
              <w:sz w:val="24"/>
              <w:szCs w:val="24"/>
              <w:lang w:val="zh-CN"/>
            </w:rPr>
            <w:fldChar w:fldCharType="end"/>
          </w:r>
        </w:p>
        <w:p>
          <w:pPr>
            <w:pStyle w:val="12"/>
            <w:tabs>
              <w:tab w:val="right" w:leader="dot" w:pos="8504"/>
            </w:tabs>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Cs/>
              <w:color w:val="auto"/>
              <w:sz w:val="24"/>
              <w:szCs w:val="24"/>
              <w:lang w:val="zh-CN"/>
            </w:rPr>
            <w:fldChar w:fldCharType="begin"/>
          </w:r>
          <w:r>
            <w:rPr>
              <w:rFonts w:hint="eastAsia" w:ascii="方正楷体_GB2312" w:hAnsi="方正楷体_GB2312" w:eastAsia="方正楷体_GB2312" w:cs="方正楷体_GB2312"/>
              <w:bCs/>
              <w:sz w:val="24"/>
              <w:szCs w:val="24"/>
              <w:lang w:val="zh-CN"/>
            </w:rPr>
            <w:instrText xml:space="preserve"> HYPERLINK \l _Toc732028252 </w:instrText>
          </w:r>
          <w:r>
            <w:rPr>
              <w:rFonts w:hint="eastAsia" w:ascii="方正楷体_GB2312" w:hAnsi="方正楷体_GB2312" w:eastAsia="方正楷体_GB2312" w:cs="方正楷体_GB2312"/>
              <w:bCs/>
              <w:sz w:val="24"/>
              <w:szCs w:val="24"/>
              <w:lang w:val="zh-CN"/>
            </w:rPr>
            <w:fldChar w:fldCharType="separate"/>
          </w:r>
          <w:r>
            <w:rPr>
              <w:rFonts w:hint="eastAsia" w:ascii="方正楷体_GB2312" w:hAnsi="方正楷体_GB2312" w:eastAsia="方正楷体_GB2312" w:cs="方正楷体_GB2312"/>
              <w:sz w:val="24"/>
              <w:szCs w:val="24"/>
              <w:lang w:eastAsia="zh-CN"/>
            </w:rPr>
            <w:t>（</w:t>
          </w:r>
          <w:r>
            <w:rPr>
              <w:rFonts w:hint="eastAsia" w:ascii="方正楷体_GB2312" w:hAnsi="方正楷体_GB2312" w:eastAsia="方正楷体_GB2312" w:cs="方正楷体_GB2312"/>
              <w:sz w:val="24"/>
              <w:szCs w:val="24"/>
              <w:lang w:val="en-US" w:eastAsia="zh-CN"/>
            </w:rPr>
            <w:t>八</w:t>
          </w:r>
          <w:r>
            <w:rPr>
              <w:rFonts w:hint="eastAsia" w:ascii="方正楷体_GB2312" w:hAnsi="方正楷体_GB2312" w:eastAsia="方正楷体_GB2312" w:cs="方正楷体_GB2312"/>
              <w:sz w:val="24"/>
              <w:szCs w:val="24"/>
              <w:lang w:eastAsia="zh-CN"/>
            </w:rPr>
            <w:t>）扩大金融科技开放合作</w:t>
          </w:r>
          <w:r>
            <w:rPr>
              <w:rFonts w:hint="eastAsia" w:ascii="方正楷体_GB2312" w:hAnsi="方正楷体_GB2312" w:eastAsia="方正楷体_GB2312" w:cs="方正楷体_GB2312"/>
              <w:sz w:val="24"/>
              <w:szCs w:val="24"/>
            </w:rPr>
            <w:tab/>
          </w:r>
          <w:r>
            <w:rPr>
              <w:rFonts w:hint="eastAsia" w:ascii="方正楷体_GB2312" w:hAnsi="方正楷体_GB2312" w:eastAsia="方正楷体_GB2312" w:cs="方正楷体_GB2312"/>
              <w:sz w:val="24"/>
              <w:szCs w:val="24"/>
            </w:rPr>
            <w:fldChar w:fldCharType="begin"/>
          </w:r>
          <w:r>
            <w:rPr>
              <w:rFonts w:hint="eastAsia" w:ascii="方正楷体_GB2312" w:hAnsi="方正楷体_GB2312" w:eastAsia="方正楷体_GB2312" w:cs="方正楷体_GB2312"/>
              <w:sz w:val="24"/>
              <w:szCs w:val="24"/>
            </w:rPr>
            <w:instrText xml:space="preserve"> PAGEREF _Toc732028252 </w:instrText>
          </w:r>
          <w:r>
            <w:rPr>
              <w:rFonts w:hint="eastAsia" w:ascii="方正楷体_GB2312" w:hAnsi="方正楷体_GB2312" w:eastAsia="方正楷体_GB2312" w:cs="方正楷体_GB2312"/>
              <w:sz w:val="24"/>
              <w:szCs w:val="24"/>
            </w:rPr>
            <w:fldChar w:fldCharType="separate"/>
          </w:r>
          <w:r>
            <w:rPr>
              <w:rFonts w:hint="eastAsia" w:ascii="方正楷体_GB2312" w:hAnsi="方正楷体_GB2312" w:eastAsia="方正楷体_GB2312" w:cs="方正楷体_GB2312"/>
              <w:sz w:val="24"/>
              <w:szCs w:val="24"/>
            </w:rPr>
            <w:t>25</w:t>
          </w:r>
          <w:r>
            <w:rPr>
              <w:rFonts w:hint="eastAsia" w:ascii="方正楷体_GB2312" w:hAnsi="方正楷体_GB2312" w:eastAsia="方正楷体_GB2312" w:cs="方正楷体_GB2312"/>
              <w:sz w:val="24"/>
              <w:szCs w:val="24"/>
            </w:rPr>
            <w:fldChar w:fldCharType="end"/>
          </w:r>
          <w:r>
            <w:rPr>
              <w:rFonts w:hint="eastAsia" w:ascii="方正楷体_GB2312" w:hAnsi="方正楷体_GB2312" w:eastAsia="方正楷体_GB2312" w:cs="方正楷体_GB2312"/>
              <w:bCs/>
              <w:color w:val="auto"/>
              <w:sz w:val="24"/>
              <w:szCs w:val="24"/>
              <w:lang w:val="zh-CN"/>
            </w:rPr>
            <w:fldChar w:fldCharType="end"/>
          </w:r>
        </w:p>
        <w:p>
          <w:pPr>
            <w:pStyle w:val="10"/>
            <w:tabs>
              <w:tab w:val="right" w:leader="dot" w:pos="8504"/>
              <w:tab w:val="clear" w:pos="8296"/>
            </w:tabs>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Cs/>
              <w:color w:val="auto"/>
              <w:sz w:val="24"/>
              <w:szCs w:val="24"/>
              <w:lang w:val="zh-CN"/>
            </w:rPr>
            <w:fldChar w:fldCharType="begin"/>
          </w:r>
          <w:r>
            <w:rPr>
              <w:rFonts w:hint="eastAsia" w:ascii="方正楷体_GB2312" w:hAnsi="方正楷体_GB2312" w:eastAsia="方正楷体_GB2312" w:cs="方正楷体_GB2312"/>
              <w:bCs/>
              <w:sz w:val="24"/>
              <w:szCs w:val="24"/>
              <w:lang w:val="zh-CN"/>
            </w:rPr>
            <w:instrText xml:space="preserve"> HYPERLINK \l _Toc1796965817 </w:instrText>
          </w:r>
          <w:r>
            <w:rPr>
              <w:rFonts w:hint="eastAsia" w:ascii="方正楷体_GB2312" w:hAnsi="方正楷体_GB2312" w:eastAsia="方正楷体_GB2312" w:cs="方正楷体_GB2312"/>
              <w:bCs/>
              <w:sz w:val="24"/>
              <w:szCs w:val="24"/>
              <w:lang w:val="zh-CN"/>
            </w:rPr>
            <w:fldChar w:fldCharType="separate"/>
          </w:r>
          <w:r>
            <w:rPr>
              <w:rFonts w:hint="eastAsia" w:ascii="黑体" w:hAnsi="黑体" w:eastAsia="黑体" w:cs="黑体"/>
              <w:sz w:val="24"/>
              <w:szCs w:val="24"/>
              <w:lang w:val="en-US" w:eastAsia="zh-CN"/>
            </w:rPr>
            <w:t>四、</w:t>
          </w:r>
          <w:r>
            <w:rPr>
              <w:rFonts w:hint="eastAsia" w:ascii="黑体" w:hAnsi="黑体" w:eastAsia="黑体" w:cs="黑体"/>
              <w:sz w:val="24"/>
              <w:szCs w:val="24"/>
            </w:rPr>
            <w:t>保障措施</w:t>
          </w:r>
          <w:r>
            <w:rPr>
              <w:rFonts w:hint="eastAsia" w:ascii="方正楷体_GB2312" w:hAnsi="方正楷体_GB2312" w:eastAsia="方正楷体_GB2312" w:cs="方正楷体_GB2312"/>
              <w:sz w:val="24"/>
              <w:szCs w:val="24"/>
            </w:rPr>
            <w:tab/>
          </w:r>
          <w:r>
            <w:rPr>
              <w:rFonts w:hint="eastAsia" w:ascii="方正楷体_GB2312" w:hAnsi="方正楷体_GB2312" w:eastAsia="方正楷体_GB2312" w:cs="方正楷体_GB2312"/>
              <w:sz w:val="24"/>
              <w:szCs w:val="24"/>
            </w:rPr>
            <w:fldChar w:fldCharType="begin"/>
          </w:r>
          <w:r>
            <w:rPr>
              <w:rFonts w:hint="eastAsia" w:ascii="方正楷体_GB2312" w:hAnsi="方正楷体_GB2312" w:eastAsia="方正楷体_GB2312" w:cs="方正楷体_GB2312"/>
              <w:sz w:val="24"/>
              <w:szCs w:val="24"/>
            </w:rPr>
            <w:instrText xml:space="preserve"> PAGEREF _Toc1796965817 </w:instrText>
          </w:r>
          <w:r>
            <w:rPr>
              <w:rFonts w:hint="eastAsia" w:ascii="方正楷体_GB2312" w:hAnsi="方正楷体_GB2312" w:eastAsia="方正楷体_GB2312" w:cs="方正楷体_GB2312"/>
              <w:sz w:val="24"/>
              <w:szCs w:val="24"/>
            </w:rPr>
            <w:fldChar w:fldCharType="separate"/>
          </w:r>
          <w:r>
            <w:rPr>
              <w:rFonts w:hint="eastAsia" w:ascii="方正楷体_GB2312" w:hAnsi="方正楷体_GB2312" w:eastAsia="方正楷体_GB2312" w:cs="方正楷体_GB2312"/>
              <w:sz w:val="24"/>
              <w:szCs w:val="24"/>
            </w:rPr>
            <w:t>27</w:t>
          </w:r>
          <w:r>
            <w:rPr>
              <w:rFonts w:hint="eastAsia" w:ascii="方正楷体_GB2312" w:hAnsi="方正楷体_GB2312" w:eastAsia="方正楷体_GB2312" w:cs="方正楷体_GB2312"/>
              <w:sz w:val="24"/>
              <w:szCs w:val="24"/>
            </w:rPr>
            <w:fldChar w:fldCharType="end"/>
          </w:r>
          <w:r>
            <w:rPr>
              <w:rFonts w:hint="eastAsia" w:ascii="方正楷体_GB2312" w:hAnsi="方正楷体_GB2312" w:eastAsia="方正楷体_GB2312" w:cs="方正楷体_GB2312"/>
              <w:bCs/>
              <w:color w:val="auto"/>
              <w:sz w:val="24"/>
              <w:szCs w:val="24"/>
              <w:lang w:val="zh-CN"/>
            </w:rPr>
            <w:fldChar w:fldCharType="end"/>
          </w:r>
        </w:p>
        <w:p>
          <w:pPr>
            <w:pStyle w:val="12"/>
            <w:tabs>
              <w:tab w:val="right" w:leader="dot" w:pos="8504"/>
            </w:tabs>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Cs/>
              <w:color w:val="auto"/>
              <w:sz w:val="24"/>
              <w:szCs w:val="24"/>
              <w:lang w:val="zh-CN"/>
            </w:rPr>
            <w:fldChar w:fldCharType="begin"/>
          </w:r>
          <w:r>
            <w:rPr>
              <w:rFonts w:hint="eastAsia" w:ascii="方正楷体_GB2312" w:hAnsi="方正楷体_GB2312" w:eastAsia="方正楷体_GB2312" w:cs="方正楷体_GB2312"/>
              <w:bCs/>
              <w:sz w:val="24"/>
              <w:szCs w:val="24"/>
              <w:lang w:val="zh-CN"/>
            </w:rPr>
            <w:instrText xml:space="preserve"> HYPERLINK \l _Toc563530037 </w:instrText>
          </w:r>
          <w:r>
            <w:rPr>
              <w:rFonts w:hint="eastAsia" w:ascii="方正楷体_GB2312" w:hAnsi="方正楷体_GB2312" w:eastAsia="方正楷体_GB2312" w:cs="方正楷体_GB2312"/>
              <w:bCs/>
              <w:sz w:val="24"/>
              <w:szCs w:val="24"/>
              <w:lang w:val="zh-CN"/>
            </w:rPr>
            <w:fldChar w:fldCharType="separate"/>
          </w:r>
          <w:r>
            <w:rPr>
              <w:rFonts w:hint="eastAsia" w:ascii="方正楷体_GB2312" w:hAnsi="方正楷体_GB2312" w:eastAsia="方正楷体_GB2312" w:cs="方正楷体_GB2312"/>
              <w:sz w:val="24"/>
              <w:szCs w:val="24"/>
            </w:rPr>
            <w:t>（一）</w:t>
          </w:r>
          <w:r>
            <w:rPr>
              <w:rFonts w:hint="eastAsia" w:ascii="方正楷体_GB2312" w:hAnsi="方正楷体_GB2312" w:eastAsia="方正楷体_GB2312" w:cs="方正楷体_GB2312"/>
              <w:sz w:val="24"/>
              <w:szCs w:val="24"/>
              <w:lang w:val="en-US" w:eastAsia="zh-CN"/>
            </w:rPr>
            <w:t>加强</w:t>
          </w:r>
          <w:r>
            <w:rPr>
              <w:rFonts w:hint="eastAsia" w:ascii="方正楷体_GB2312" w:hAnsi="方正楷体_GB2312" w:eastAsia="方正楷体_GB2312" w:cs="方正楷体_GB2312"/>
              <w:sz w:val="24"/>
              <w:szCs w:val="24"/>
            </w:rPr>
            <w:t>组织</w:t>
          </w:r>
          <w:r>
            <w:rPr>
              <w:rFonts w:hint="eastAsia" w:ascii="方正楷体_GB2312" w:hAnsi="方正楷体_GB2312" w:eastAsia="方正楷体_GB2312" w:cs="方正楷体_GB2312"/>
              <w:sz w:val="24"/>
              <w:szCs w:val="24"/>
              <w:lang w:val="en-US" w:eastAsia="zh-CN"/>
            </w:rPr>
            <w:t>统筹</w:t>
          </w:r>
          <w:r>
            <w:rPr>
              <w:rFonts w:hint="eastAsia" w:ascii="方正楷体_GB2312" w:hAnsi="方正楷体_GB2312" w:eastAsia="方正楷体_GB2312" w:cs="方正楷体_GB2312"/>
              <w:sz w:val="24"/>
              <w:szCs w:val="24"/>
            </w:rPr>
            <w:tab/>
          </w:r>
          <w:r>
            <w:rPr>
              <w:rFonts w:hint="eastAsia" w:ascii="方正楷体_GB2312" w:hAnsi="方正楷体_GB2312" w:eastAsia="方正楷体_GB2312" w:cs="方正楷体_GB2312"/>
              <w:sz w:val="24"/>
              <w:szCs w:val="24"/>
            </w:rPr>
            <w:fldChar w:fldCharType="begin"/>
          </w:r>
          <w:r>
            <w:rPr>
              <w:rFonts w:hint="eastAsia" w:ascii="方正楷体_GB2312" w:hAnsi="方正楷体_GB2312" w:eastAsia="方正楷体_GB2312" w:cs="方正楷体_GB2312"/>
              <w:sz w:val="24"/>
              <w:szCs w:val="24"/>
            </w:rPr>
            <w:instrText xml:space="preserve"> PAGEREF _Toc563530037 </w:instrText>
          </w:r>
          <w:r>
            <w:rPr>
              <w:rFonts w:hint="eastAsia" w:ascii="方正楷体_GB2312" w:hAnsi="方正楷体_GB2312" w:eastAsia="方正楷体_GB2312" w:cs="方正楷体_GB2312"/>
              <w:sz w:val="24"/>
              <w:szCs w:val="24"/>
            </w:rPr>
            <w:fldChar w:fldCharType="separate"/>
          </w:r>
          <w:r>
            <w:rPr>
              <w:rFonts w:hint="eastAsia" w:ascii="方正楷体_GB2312" w:hAnsi="方正楷体_GB2312" w:eastAsia="方正楷体_GB2312" w:cs="方正楷体_GB2312"/>
              <w:sz w:val="24"/>
              <w:szCs w:val="24"/>
            </w:rPr>
            <w:t>27</w:t>
          </w:r>
          <w:r>
            <w:rPr>
              <w:rFonts w:hint="eastAsia" w:ascii="方正楷体_GB2312" w:hAnsi="方正楷体_GB2312" w:eastAsia="方正楷体_GB2312" w:cs="方正楷体_GB2312"/>
              <w:sz w:val="24"/>
              <w:szCs w:val="24"/>
            </w:rPr>
            <w:fldChar w:fldCharType="end"/>
          </w:r>
          <w:r>
            <w:rPr>
              <w:rFonts w:hint="eastAsia" w:ascii="方正楷体_GB2312" w:hAnsi="方正楷体_GB2312" w:eastAsia="方正楷体_GB2312" w:cs="方正楷体_GB2312"/>
              <w:bCs/>
              <w:color w:val="auto"/>
              <w:sz w:val="24"/>
              <w:szCs w:val="24"/>
              <w:lang w:val="zh-CN"/>
            </w:rPr>
            <w:fldChar w:fldCharType="end"/>
          </w:r>
        </w:p>
        <w:p>
          <w:pPr>
            <w:pStyle w:val="12"/>
            <w:tabs>
              <w:tab w:val="right" w:leader="dot" w:pos="8504"/>
            </w:tabs>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Cs/>
              <w:color w:val="auto"/>
              <w:sz w:val="24"/>
              <w:szCs w:val="24"/>
              <w:lang w:val="zh-CN"/>
            </w:rPr>
            <w:fldChar w:fldCharType="begin"/>
          </w:r>
          <w:r>
            <w:rPr>
              <w:rFonts w:hint="eastAsia" w:ascii="方正楷体_GB2312" w:hAnsi="方正楷体_GB2312" w:eastAsia="方正楷体_GB2312" w:cs="方正楷体_GB2312"/>
              <w:bCs/>
              <w:sz w:val="24"/>
              <w:szCs w:val="24"/>
              <w:lang w:val="zh-CN"/>
            </w:rPr>
            <w:instrText xml:space="preserve"> HYPERLINK \l _Toc486908170 </w:instrText>
          </w:r>
          <w:r>
            <w:rPr>
              <w:rFonts w:hint="eastAsia" w:ascii="方正楷体_GB2312" w:hAnsi="方正楷体_GB2312" w:eastAsia="方正楷体_GB2312" w:cs="方正楷体_GB2312"/>
              <w:bCs/>
              <w:sz w:val="24"/>
              <w:szCs w:val="24"/>
              <w:lang w:val="zh-CN"/>
            </w:rPr>
            <w:fldChar w:fldCharType="separate"/>
          </w:r>
          <w:r>
            <w:rPr>
              <w:rFonts w:hint="eastAsia" w:ascii="方正楷体_GB2312" w:hAnsi="方正楷体_GB2312" w:eastAsia="方正楷体_GB2312" w:cs="方正楷体_GB2312"/>
              <w:sz w:val="24"/>
              <w:szCs w:val="24"/>
            </w:rPr>
            <w:t>（二）</w:t>
          </w:r>
          <w:r>
            <w:rPr>
              <w:rFonts w:hint="eastAsia" w:ascii="方正楷体_GB2312" w:hAnsi="方正楷体_GB2312" w:eastAsia="方正楷体_GB2312" w:cs="方正楷体_GB2312"/>
              <w:sz w:val="24"/>
              <w:szCs w:val="24"/>
              <w:lang w:val="en-US" w:eastAsia="zh-CN"/>
            </w:rPr>
            <w:t>完善配套体系</w:t>
          </w:r>
          <w:r>
            <w:rPr>
              <w:rFonts w:hint="eastAsia" w:ascii="方正楷体_GB2312" w:hAnsi="方正楷体_GB2312" w:eastAsia="方正楷体_GB2312" w:cs="方正楷体_GB2312"/>
              <w:sz w:val="24"/>
              <w:szCs w:val="24"/>
            </w:rPr>
            <w:tab/>
          </w:r>
          <w:r>
            <w:rPr>
              <w:rFonts w:hint="eastAsia" w:ascii="方正楷体_GB2312" w:hAnsi="方正楷体_GB2312" w:eastAsia="方正楷体_GB2312" w:cs="方正楷体_GB2312"/>
              <w:sz w:val="24"/>
              <w:szCs w:val="24"/>
            </w:rPr>
            <w:fldChar w:fldCharType="begin"/>
          </w:r>
          <w:r>
            <w:rPr>
              <w:rFonts w:hint="eastAsia" w:ascii="方正楷体_GB2312" w:hAnsi="方正楷体_GB2312" w:eastAsia="方正楷体_GB2312" w:cs="方正楷体_GB2312"/>
              <w:sz w:val="24"/>
              <w:szCs w:val="24"/>
            </w:rPr>
            <w:instrText xml:space="preserve"> PAGEREF _Toc486908170 </w:instrText>
          </w:r>
          <w:r>
            <w:rPr>
              <w:rFonts w:hint="eastAsia" w:ascii="方正楷体_GB2312" w:hAnsi="方正楷体_GB2312" w:eastAsia="方正楷体_GB2312" w:cs="方正楷体_GB2312"/>
              <w:sz w:val="24"/>
              <w:szCs w:val="24"/>
            </w:rPr>
            <w:fldChar w:fldCharType="separate"/>
          </w:r>
          <w:r>
            <w:rPr>
              <w:rFonts w:hint="eastAsia" w:ascii="方正楷体_GB2312" w:hAnsi="方正楷体_GB2312" w:eastAsia="方正楷体_GB2312" w:cs="方正楷体_GB2312"/>
              <w:sz w:val="24"/>
              <w:szCs w:val="24"/>
            </w:rPr>
            <w:t>28</w:t>
          </w:r>
          <w:r>
            <w:rPr>
              <w:rFonts w:hint="eastAsia" w:ascii="方正楷体_GB2312" w:hAnsi="方正楷体_GB2312" w:eastAsia="方正楷体_GB2312" w:cs="方正楷体_GB2312"/>
              <w:sz w:val="24"/>
              <w:szCs w:val="24"/>
            </w:rPr>
            <w:fldChar w:fldCharType="end"/>
          </w:r>
          <w:r>
            <w:rPr>
              <w:rFonts w:hint="eastAsia" w:ascii="方正楷体_GB2312" w:hAnsi="方正楷体_GB2312" w:eastAsia="方正楷体_GB2312" w:cs="方正楷体_GB2312"/>
              <w:bCs/>
              <w:color w:val="auto"/>
              <w:sz w:val="24"/>
              <w:szCs w:val="24"/>
              <w:lang w:val="zh-CN"/>
            </w:rPr>
            <w:fldChar w:fldCharType="end"/>
          </w:r>
        </w:p>
        <w:p>
          <w:pPr>
            <w:pStyle w:val="12"/>
            <w:tabs>
              <w:tab w:val="right" w:leader="dot" w:pos="8504"/>
            </w:tabs>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bCs/>
              <w:color w:val="auto"/>
              <w:sz w:val="24"/>
              <w:szCs w:val="24"/>
              <w:lang w:val="zh-CN"/>
            </w:rPr>
            <w:fldChar w:fldCharType="begin"/>
          </w:r>
          <w:r>
            <w:rPr>
              <w:rFonts w:hint="eastAsia" w:ascii="方正楷体_GB2312" w:hAnsi="方正楷体_GB2312" w:eastAsia="方正楷体_GB2312" w:cs="方正楷体_GB2312"/>
              <w:bCs/>
              <w:sz w:val="24"/>
              <w:szCs w:val="24"/>
              <w:lang w:val="zh-CN"/>
            </w:rPr>
            <w:instrText xml:space="preserve"> HYPERLINK \l _Toc621433948 </w:instrText>
          </w:r>
          <w:r>
            <w:rPr>
              <w:rFonts w:hint="eastAsia" w:ascii="方正楷体_GB2312" w:hAnsi="方正楷体_GB2312" w:eastAsia="方正楷体_GB2312" w:cs="方正楷体_GB2312"/>
              <w:bCs/>
              <w:sz w:val="24"/>
              <w:szCs w:val="24"/>
              <w:lang w:val="zh-CN"/>
            </w:rPr>
            <w:fldChar w:fldCharType="separate"/>
          </w:r>
          <w:r>
            <w:rPr>
              <w:rFonts w:hint="eastAsia" w:ascii="方正楷体_GB2312" w:hAnsi="方正楷体_GB2312" w:eastAsia="方正楷体_GB2312" w:cs="方正楷体_GB2312"/>
              <w:sz w:val="24"/>
              <w:szCs w:val="24"/>
            </w:rPr>
            <w:t>（三）</w:t>
          </w:r>
          <w:r>
            <w:rPr>
              <w:rFonts w:hint="eastAsia" w:ascii="方正楷体_GB2312" w:hAnsi="方正楷体_GB2312" w:eastAsia="方正楷体_GB2312" w:cs="方正楷体_GB2312"/>
              <w:sz w:val="24"/>
              <w:szCs w:val="24"/>
              <w:lang w:val="en-US" w:eastAsia="zh-CN"/>
            </w:rPr>
            <w:t>营造良好环境</w:t>
          </w:r>
          <w:r>
            <w:rPr>
              <w:rFonts w:hint="eastAsia" w:ascii="方正楷体_GB2312" w:hAnsi="方正楷体_GB2312" w:eastAsia="方正楷体_GB2312" w:cs="方正楷体_GB2312"/>
              <w:sz w:val="24"/>
              <w:szCs w:val="24"/>
            </w:rPr>
            <w:tab/>
          </w:r>
          <w:r>
            <w:rPr>
              <w:rFonts w:hint="eastAsia" w:ascii="方正楷体_GB2312" w:hAnsi="方正楷体_GB2312" w:eastAsia="方正楷体_GB2312" w:cs="方正楷体_GB2312"/>
              <w:sz w:val="24"/>
              <w:szCs w:val="24"/>
            </w:rPr>
            <w:fldChar w:fldCharType="begin"/>
          </w:r>
          <w:r>
            <w:rPr>
              <w:rFonts w:hint="eastAsia" w:ascii="方正楷体_GB2312" w:hAnsi="方正楷体_GB2312" w:eastAsia="方正楷体_GB2312" w:cs="方正楷体_GB2312"/>
              <w:sz w:val="24"/>
              <w:szCs w:val="24"/>
            </w:rPr>
            <w:instrText xml:space="preserve"> PAGEREF _Toc621433948 </w:instrText>
          </w:r>
          <w:r>
            <w:rPr>
              <w:rFonts w:hint="eastAsia" w:ascii="方正楷体_GB2312" w:hAnsi="方正楷体_GB2312" w:eastAsia="方正楷体_GB2312" w:cs="方正楷体_GB2312"/>
              <w:sz w:val="24"/>
              <w:szCs w:val="24"/>
            </w:rPr>
            <w:fldChar w:fldCharType="separate"/>
          </w:r>
          <w:r>
            <w:rPr>
              <w:rFonts w:hint="eastAsia" w:ascii="方正楷体_GB2312" w:hAnsi="方正楷体_GB2312" w:eastAsia="方正楷体_GB2312" w:cs="方正楷体_GB2312"/>
              <w:sz w:val="24"/>
              <w:szCs w:val="24"/>
            </w:rPr>
            <w:t>29</w:t>
          </w:r>
          <w:r>
            <w:rPr>
              <w:rFonts w:hint="eastAsia" w:ascii="方正楷体_GB2312" w:hAnsi="方正楷体_GB2312" w:eastAsia="方正楷体_GB2312" w:cs="方正楷体_GB2312"/>
              <w:sz w:val="24"/>
              <w:szCs w:val="24"/>
            </w:rPr>
            <w:fldChar w:fldCharType="end"/>
          </w:r>
          <w:r>
            <w:rPr>
              <w:rFonts w:hint="eastAsia" w:ascii="方正楷体_GB2312" w:hAnsi="方正楷体_GB2312" w:eastAsia="方正楷体_GB2312" w:cs="方正楷体_GB2312"/>
              <w:bCs/>
              <w:color w:val="auto"/>
              <w:sz w:val="24"/>
              <w:szCs w:val="24"/>
              <w:lang w:val="zh-CN"/>
            </w:rPr>
            <w:fldChar w:fldCharType="end"/>
          </w:r>
        </w:p>
        <w:p>
          <w:pPr>
            <w:keepNext w:val="0"/>
            <w:keepLines w:val="0"/>
            <w:pageBreakBefore w:val="0"/>
            <w:kinsoku/>
            <w:wordWrap/>
            <w:overflowPunct/>
            <w:topLinePunct w:val="0"/>
            <w:autoSpaceDE/>
            <w:autoSpaceDN/>
            <w:bidi w:val="0"/>
            <w:adjustRightInd/>
            <w:snapToGrid w:val="0"/>
            <w:spacing w:line="300" w:lineRule="auto"/>
            <w:textAlignment w:val="auto"/>
            <w:rPr>
              <w:rFonts w:hint="default" w:ascii="Times New Roman" w:hAnsi="Times New Roman" w:cs="Times New Roman"/>
              <w:color w:val="auto"/>
            </w:rPr>
          </w:pPr>
          <w:r>
            <w:rPr>
              <w:rFonts w:hint="eastAsia" w:ascii="方正楷体_GB2312" w:hAnsi="方正楷体_GB2312" w:eastAsia="方正楷体_GB2312" w:cs="方正楷体_GB2312"/>
              <w:bCs/>
              <w:color w:val="auto"/>
              <w:sz w:val="24"/>
              <w:szCs w:val="24"/>
              <w:lang w:val="zh-CN"/>
            </w:rPr>
            <w:fldChar w:fldCharType="end"/>
          </w:r>
        </w:p>
      </w:sdtContent>
    </w:sdt>
    <w:p>
      <w:pPr>
        <w:spacing w:line="560" w:lineRule="exact"/>
        <w:rPr>
          <w:rFonts w:hint="default" w:ascii="Times New Roman" w:hAnsi="Times New Roman" w:cs="Times New Roman"/>
          <w:color w:val="auto"/>
          <w:szCs w:val="32"/>
        </w:rPr>
      </w:pPr>
    </w:p>
    <w:p>
      <w:pPr>
        <w:spacing w:line="560" w:lineRule="exact"/>
        <w:rPr>
          <w:rFonts w:hint="default" w:ascii="Times New Roman" w:hAnsi="Times New Roman" w:cs="Times New Roman"/>
          <w:color w:val="auto"/>
          <w:szCs w:val="32"/>
        </w:rPr>
      </w:pPr>
    </w:p>
    <w:p>
      <w:pPr>
        <w:spacing w:line="560" w:lineRule="exact"/>
        <w:rPr>
          <w:rFonts w:hint="default" w:ascii="Times New Roman" w:hAnsi="Times New Roman" w:cs="Times New Roman"/>
          <w:color w:val="auto"/>
          <w:szCs w:val="32"/>
        </w:rPr>
      </w:pPr>
    </w:p>
    <w:p>
      <w:pPr>
        <w:spacing w:line="560" w:lineRule="exact"/>
        <w:rPr>
          <w:rFonts w:hint="default" w:ascii="Times New Roman" w:hAnsi="Times New Roman" w:cs="Times New Roman"/>
          <w:color w:val="auto"/>
          <w:szCs w:val="32"/>
        </w:rPr>
        <w:sectPr>
          <w:footerReference r:id="rId7" w:type="default"/>
          <w:footerReference r:id="rId8" w:type="even"/>
          <w:pgSz w:w="11906" w:h="16838"/>
          <w:pgMar w:top="1984" w:right="1474" w:bottom="1417" w:left="1587" w:header="1361" w:footer="850" w:gutter="0"/>
          <w:pgNumType w:fmt="decimal" w:start="1"/>
          <w:cols w:space="0" w:num="1"/>
          <w:rtlGutter w:val="0"/>
          <w:docGrid w:type="lines" w:linePitch="435" w:charSpace="0"/>
        </w:sectPr>
      </w:pPr>
    </w:p>
    <w:p>
      <w:pPr>
        <w:pStyle w:val="3"/>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黑体" w:cs="Times New Roman"/>
          <w:color w:val="auto"/>
          <w:lang w:val="en-US" w:eastAsia="zh-CN"/>
        </w:rPr>
      </w:pPr>
      <w:bookmarkStart w:id="0" w:name="_Toc16864"/>
      <w:bookmarkStart w:id="1" w:name="_Toc298"/>
      <w:bookmarkStart w:id="2" w:name="_Toc275413172"/>
      <w:r>
        <w:rPr>
          <w:rFonts w:hint="default" w:ascii="Times New Roman" w:hAnsi="Times New Roman" w:cs="Times New Roman"/>
          <w:color w:val="auto"/>
        </w:rPr>
        <w:t>一、发展基础</w:t>
      </w:r>
      <w:r>
        <w:rPr>
          <w:rFonts w:hint="eastAsia" w:ascii="Times New Roman" w:hAnsi="Times New Roman" w:cs="Times New Roman"/>
          <w:color w:val="auto"/>
          <w:lang w:val="en-US" w:eastAsia="zh-CN"/>
        </w:rPr>
        <w:t>和存在</w:t>
      </w:r>
      <w:bookmarkEnd w:id="0"/>
      <w:bookmarkEnd w:id="1"/>
      <w:r>
        <w:rPr>
          <w:rFonts w:hint="eastAsia" w:ascii="Times New Roman" w:hAnsi="Times New Roman" w:cs="Times New Roman"/>
          <w:color w:val="auto"/>
          <w:lang w:val="en-US" w:eastAsia="zh-CN"/>
        </w:rPr>
        <w:t>不足</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深圳金融科技生态完整，在诸多领域已处于全国前列</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亚太一流，具备了建设全球金融科技中心的基础条件。在英国智库Z/Yen集团</w:t>
      </w:r>
      <w:r>
        <w:rPr>
          <w:rFonts w:hint="eastAsia" w:ascii="仿宋_GB2312" w:hAnsi="仿宋_GB2312" w:eastAsia="仿宋_GB2312" w:cs="仿宋_GB2312"/>
          <w:szCs w:val="32"/>
          <w:lang w:eastAsia="zh-CN"/>
        </w:rPr>
        <w:t>、综合开发研究院</w:t>
      </w:r>
      <w:r>
        <w:rPr>
          <w:rFonts w:hint="eastAsia" w:ascii="仿宋_GB2312" w:hAnsi="仿宋_GB2312" w:eastAsia="仿宋_GB2312" w:cs="仿宋_GB2312"/>
          <w:szCs w:val="32"/>
        </w:rPr>
        <w:t>发布的全球金融中心指数（GFCI）中，深圳金融科技专项排名最高位列全球第四。</w:t>
      </w:r>
    </w:p>
    <w:p>
      <w:pPr>
        <w:pStyle w:val="4"/>
        <w:keepNext w:val="0"/>
        <w:keepLines w:val="0"/>
        <w:pageBreakBefore w:val="0"/>
        <w:widowControl w:val="0"/>
        <w:kinsoku/>
        <w:wordWrap/>
        <w:overflowPunct/>
        <w:topLinePunct w:val="0"/>
        <w:bidi w:val="0"/>
        <w:adjustRightInd/>
        <w:snapToGrid/>
        <w:spacing w:line="560" w:lineRule="exact"/>
        <w:ind w:firstLine="641"/>
        <w:textAlignment w:val="auto"/>
        <w:rPr>
          <w:rFonts w:hint="default" w:ascii="Times New Roman" w:hAnsi="Times New Roman" w:eastAsia="楷体_GB2312" w:cs="Times New Roman"/>
          <w:lang w:eastAsia="zh-CN"/>
        </w:rPr>
      </w:pPr>
      <w:bookmarkStart w:id="3" w:name="_Toc12429"/>
      <w:bookmarkStart w:id="4" w:name="_Toc1671214703"/>
      <w:r>
        <w:rPr>
          <w:rFonts w:hint="default" w:ascii="Times New Roman" w:hAnsi="Times New Roman" w:eastAsia="楷体_GB2312" w:cs="Times New Roman"/>
          <w:lang w:eastAsia="zh-CN"/>
        </w:rPr>
        <w:t>（一）发展基础</w:t>
      </w:r>
      <w:bookmarkEnd w:id="3"/>
      <w:bookmarkEnd w:id="4"/>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default" w:ascii="Times New Roman" w:hAnsi="Times New Roman" w:cs="Times New Roman"/>
          <w:szCs w:val="32"/>
          <w:lang w:val="en-US" w:eastAsia="zh-CN"/>
        </w:rPr>
      </w:pPr>
      <w:r>
        <w:rPr>
          <w:rFonts w:hint="eastAsia" w:ascii="仿宋_GB2312" w:hAnsi="仿宋_GB2312" w:eastAsia="仿宋_GB2312" w:cs="仿宋_GB2312"/>
          <w:b/>
          <w:bCs/>
          <w:szCs w:val="32"/>
          <w:lang w:eastAsia="zh-CN"/>
        </w:rPr>
        <w:t>1</w:t>
      </w:r>
      <w:r>
        <w:rPr>
          <w:rFonts w:hint="eastAsia" w:ascii="仿宋_GB2312" w:hAnsi="仿宋_GB2312" w:eastAsia="仿宋_GB2312" w:cs="仿宋_GB2312"/>
          <w:b/>
          <w:bCs/>
          <w:szCs w:val="32"/>
          <w:lang w:val="en-US" w:eastAsia="zh-Hans"/>
        </w:rPr>
        <w:t>.</w:t>
      </w:r>
      <w:r>
        <w:rPr>
          <w:rFonts w:hint="eastAsia" w:cs="仿宋_GB2312"/>
          <w:b/>
          <w:bCs/>
          <w:szCs w:val="32"/>
          <w:lang w:val="en-US" w:eastAsia="zh-CN"/>
        </w:rPr>
        <w:t>政策环境不断优化。</w:t>
      </w:r>
      <w:r>
        <w:rPr>
          <w:rFonts w:hint="eastAsia" w:ascii="仿宋_GB2312" w:hAnsi="仿宋_GB2312" w:eastAsia="仿宋_GB2312" w:cs="仿宋_GB2312"/>
          <w:szCs w:val="32"/>
          <w:lang w:val="en-US" w:eastAsia="zh-CN"/>
        </w:rPr>
        <w:t>2017年3月，深圳市福田区率先出台《关于促进福田区金融科技快速健康创新发展的若干意见》，成为我国地方政府首个发布的金融科技专项政策，</w:t>
      </w:r>
      <w:r>
        <w:rPr>
          <w:rFonts w:hint="eastAsia" w:cs="仿宋_GB2312"/>
          <w:szCs w:val="32"/>
          <w:lang w:val="en-US" w:eastAsia="zh-CN"/>
        </w:rPr>
        <w:t>并通过</w:t>
      </w:r>
      <w:r>
        <w:rPr>
          <w:rFonts w:hint="eastAsia" w:ascii="仿宋_GB2312" w:hAnsi="仿宋_GB2312" w:eastAsia="仿宋_GB2312" w:cs="仿宋_GB2312"/>
          <w:szCs w:val="32"/>
          <w:lang w:val="en-US" w:eastAsia="zh-CN"/>
        </w:rPr>
        <w:t>设立“香蜜湖金融科技创新奖”</w:t>
      </w:r>
      <w:r>
        <w:rPr>
          <w:rFonts w:hint="eastAsia" w:cs="仿宋_GB2312"/>
          <w:szCs w:val="32"/>
          <w:lang w:val="en-US" w:eastAsia="zh-CN"/>
        </w:rPr>
        <w:t>等系列措施加大激励引导</w:t>
      </w:r>
      <w:r>
        <w:rPr>
          <w:rFonts w:hint="eastAsia" w:ascii="仿宋_GB2312" w:hAnsi="仿宋_GB2312" w:eastAsia="仿宋_GB2312" w:cs="仿宋_GB2312"/>
          <w:szCs w:val="32"/>
          <w:lang w:val="en-US" w:eastAsia="zh-CN"/>
        </w:rPr>
        <w:t>。</w:t>
      </w:r>
      <w:r>
        <w:rPr>
          <w:rFonts w:hint="eastAsia" w:cs="仿宋_GB2312"/>
          <w:szCs w:val="32"/>
          <w:lang w:val="en-US" w:eastAsia="zh-CN"/>
        </w:rPr>
        <w:t>南山、罗湖、前海等也相继出台相应措施，或在金融发展专项资金中“切块”支持，有力促进本地金融科技发展。</w:t>
      </w:r>
      <w:r>
        <w:rPr>
          <w:rFonts w:hint="eastAsia" w:ascii="仿宋_GB2312" w:hAnsi="仿宋_GB2312" w:eastAsia="仿宋_GB2312" w:cs="仿宋_GB2312"/>
          <w:szCs w:val="32"/>
          <w:lang w:val="en-US" w:eastAsia="zh-CN"/>
        </w:rPr>
        <w:t>2022年4月，《深圳市扶持金融科技发展若干措施》发布实施，支持范围涵盖重点机构平台落地、基础设施完善、投融资对接、举办论坛赛事、人才培育培养等多个方面，市区联动的政策体系不断健全。</w:t>
      </w:r>
    </w:p>
    <w:p>
      <w:pPr>
        <w:keepNext w:val="0"/>
        <w:keepLines w:val="0"/>
        <w:pageBreakBefore w:val="0"/>
        <w:widowControl w:val="0"/>
        <w:kinsoku/>
        <w:wordWrap/>
        <w:overflowPunct/>
        <w:topLinePunct w:val="0"/>
        <w:autoSpaceDE w:val="0"/>
        <w:autoSpaceDN w:val="0"/>
        <w:bidi w:val="0"/>
        <w:adjustRightInd/>
        <w:snapToGrid/>
        <w:spacing w:line="560" w:lineRule="exact"/>
        <w:ind w:firstLine="643"/>
        <w:textAlignment w:val="auto"/>
        <w:rPr>
          <w:rFonts w:hint="eastAsia" w:ascii="Times New Roman" w:hAnsi="Times New Roman" w:cs="Times New Roman"/>
          <w:szCs w:val="32"/>
          <w:lang w:val="en-US" w:eastAsia="zh-CN"/>
        </w:rPr>
      </w:pPr>
      <w:r>
        <w:rPr>
          <w:rFonts w:hint="default" w:ascii="仿宋_GB2312" w:hAnsi="仿宋_GB2312" w:eastAsia="仿宋_GB2312" w:cs="仿宋_GB2312"/>
          <w:b/>
          <w:bCs/>
          <w:szCs w:val="32"/>
          <w:lang w:eastAsia="zh-CN"/>
        </w:rPr>
        <w:t>2</w:t>
      </w:r>
      <w:r>
        <w:rPr>
          <w:rFonts w:hint="eastAsia" w:ascii="仿宋_GB2312" w:hAnsi="仿宋_GB2312" w:eastAsia="仿宋_GB2312" w:cs="仿宋_GB2312"/>
          <w:b/>
          <w:bCs/>
          <w:szCs w:val="32"/>
          <w:lang w:val="en-US" w:eastAsia="zh-Hans"/>
        </w:rPr>
        <w:t>.</w:t>
      </w:r>
      <w:r>
        <w:rPr>
          <w:rFonts w:hint="default" w:ascii="仿宋_GB2312" w:hAnsi="仿宋_GB2312" w:eastAsia="仿宋_GB2312" w:cs="仿宋_GB2312"/>
          <w:b/>
          <w:bCs/>
          <w:szCs w:val="32"/>
          <w:lang w:val="en-US" w:eastAsia="zh-CN"/>
        </w:rPr>
        <w:t>企业雁阵格局</w:t>
      </w:r>
      <w:r>
        <w:rPr>
          <w:rFonts w:hint="eastAsia" w:cs="仿宋_GB2312"/>
          <w:b/>
          <w:bCs/>
          <w:szCs w:val="32"/>
          <w:lang w:val="en-US" w:eastAsia="zh-CN"/>
        </w:rPr>
        <w:t>逐步形成。</w:t>
      </w:r>
      <w:r>
        <w:rPr>
          <w:rFonts w:hint="default" w:ascii="Times New Roman" w:hAnsi="Times New Roman" w:cs="Times New Roman"/>
          <w:szCs w:val="32"/>
          <w:lang w:val="en-US" w:eastAsia="zh-CN"/>
        </w:rPr>
        <w:t>深圳金融科技起步早</w:t>
      </w:r>
      <w:r>
        <w:rPr>
          <w:rFonts w:hint="eastAsia" w:ascii="Times New Roman" w:hAnsi="Times New Roman" w:cs="Times New Roman"/>
          <w:szCs w:val="32"/>
          <w:lang w:val="en-US" w:eastAsia="zh-CN"/>
        </w:rPr>
        <w:t>、发展迅速，</w:t>
      </w:r>
      <w:r>
        <w:rPr>
          <w:rFonts w:hint="default" w:ascii="Times New Roman" w:hAnsi="Times New Roman" w:cs="Times New Roman"/>
          <w:szCs w:val="32"/>
          <w:lang w:val="en-US" w:eastAsia="zh-CN"/>
        </w:rPr>
        <w:t>平安集团、招商金科</w:t>
      </w:r>
      <w:r>
        <w:rPr>
          <w:rFonts w:hint="eastAsia" w:ascii="Times New Roman" w:hAnsi="Times New Roman" w:cs="Times New Roman"/>
          <w:szCs w:val="32"/>
          <w:lang w:val="en-US" w:eastAsia="zh-CN"/>
        </w:rPr>
        <w:t>等代表性企业先行领跑，开泰银行、中金公司、山西证券等持牌金融机构的科技子公司相继落户，长亮科技、金证科技等优秀金融科技服务商不断涌现，金融壹账通等23家企业入选毕马威2021中国金融科技“双50”榜单，多家香港虚拟银行、虚拟保险旗下金融科技子公司在前海集聚，微众银行、腾讯、华为技术等研发推出如</w:t>
      </w:r>
      <w:r>
        <w:rPr>
          <w:rFonts w:hint="eastAsia" w:ascii="仿宋_GB2312" w:hAnsi="仿宋_GB2312" w:eastAsia="仿宋_GB2312" w:cs="仿宋_GB2312"/>
          <w:szCs w:val="32"/>
          <w:lang w:val="en-US" w:eastAsia="zh-CN"/>
        </w:rPr>
        <w:t>FISCO-BCOS</w:t>
      </w:r>
      <w:r>
        <w:rPr>
          <w:rFonts w:hint="eastAsia" w:ascii="Times New Roman" w:hAnsi="Times New Roman" w:cs="Times New Roman"/>
          <w:szCs w:val="32"/>
          <w:lang w:val="en-US" w:eastAsia="zh-CN"/>
        </w:rPr>
        <w:t>等有影响力的开源项目……富有特色、模式多元的金融科技类企业</w:t>
      </w:r>
      <w:r>
        <w:rPr>
          <w:rFonts w:hint="default" w:ascii="Times New Roman" w:hAnsi="Times New Roman" w:cs="Times New Roman"/>
          <w:szCs w:val="32"/>
          <w:lang w:val="en-US" w:eastAsia="zh-CN"/>
        </w:rPr>
        <w:t>集群和</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雁阵</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格局初步形成</w:t>
      </w:r>
      <w:r>
        <w:rPr>
          <w:rFonts w:hint="eastAsia" w:ascii="Times New Roman" w:hAnsi="Times New Roman" w:cs="Times New Roman"/>
          <w:szCs w:val="32"/>
          <w:lang w:val="en-US" w:eastAsia="zh-CN"/>
        </w:rPr>
        <w:t>。同时，福田、南山等重点区正加快</w:t>
      </w:r>
      <w:r>
        <w:rPr>
          <w:rFonts w:hint="default" w:ascii="Times New Roman" w:hAnsi="Times New Roman" w:cs="Times New Roman"/>
          <w:szCs w:val="32"/>
          <w:lang w:val="en-US" w:eastAsia="zh-CN"/>
        </w:rPr>
        <w:t>打造湾区国际金融科技城、国际金融科技生态园、深港金融科技城</w:t>
      </w:r>
      <w:r>
        <w:rPr>
          <w:rFonts w:hint="eastAsia" w:ascii="Times New Roman" w:hAnsi="Times New Roman" w:cs="Times New Roman"/>
          <w:szCs w:val="32"/>
          <w:lang w:val="en-US" w:eastAsia="zh-CN"/>
        </w:rPr>
        <w:t>等集聚功能区，</w:t>
      </w:r>
      <w:r>
        <w:rPr>
          <w:rFonts w:hint="default" w:ascii="Times New Roman" w:hAnsi="Times New Roman" w:cs="Times New Roman"/>
          <w:szCs w:val="32"/>
          <w:lang w:val="en-US" w:eastAsia="zh-CN"/>
        </w:rPr>
        <w:t>组建</w:t>
      </w:r>
      <w:r>
        <w:rPr>
          <w:rFonts w:hint="eastAsia" w:ascii="Times New Roman" w:hAnsi="Times New Roman" w:cs="Times New Roman"/>
          <w:szCs w:val="32"/>
          <w:lang w:val="en-US" w:eastAsia="zh-CN"/>
        </w:rPr>
        <w:t>一批</w:t>
      </w:r>
      <w:r>
        <w:rPr>
          <w:rFonts w:hint="default" w:ascii="Times New Roman" w:hAnsi="Times New Roman" w:cs="Times New Roman"/>
          <w:szCs w:val="32"/>
          <w:lang w:val="en-US" w:eastAsia="zh-CN"/>
        </w:rPr>
        <w:t>金融科技孵化器</w:t>
      </w:r>
      <w:r>
        <w:rPr>
          <w:rFonts w:hint="eastAsia" w:ascii="Times New Roman" w:hAnsi="Times New Roman" w:cs="Times New Roman"/>
          <w:szCs w:val="32"/>
          <w:lang w:val="en-US" w:eastAsia="zh-CN"/>
        </w:rPr>
        <w:t>、加速器等平台</w:t>
      </w:r>
      <w:r>
        <w:rPr>
          <w:rFonts w:hint="default" w:ascii="Times New Roman" w:hAnsi="Times New Roman" w:cs="Times New Roman"/>
          <w:szCs w:val="32"/>
          <w:lang w:val="en-US" w:eastAsia="zh-CN"/>
        </w:rPr>
        <w:t>载体，</w:t>
      </w:r>
      <w:r>
        <w:rPr>
          <w:rFonts w:hint="eastAsia" w:ascii="Times New Roman" w:hAnsi="Times New Roman" w:cs="Times New Roman"/>
          <w:szCs w:val="32"/>
          <w:lang w:val="en-US" w:eastAsia="zh-CN"/>
        </w:rPr>
        <w:t>有力促进金融科技类企业培育和成果转化。</w:t>
      </w:r>
    </w:p>
    <w:p>
      <w:pPr>
        <w:pageBreakBefore w:val="0"/>
        <w:widowControl w:val="0"/>
        <w:kinsoku/>
        <w:wordWrap/>
        <w:overflowPunct/>
        <w:topLinePunct w:val="0"/>
        <w:autoSpaceDE w:val="0"/>
        <w:autoSpaceDN w:val="0"/>
        <w:bidi w:val="0"/>
        <w:adjustRightInd/>
        <w:snapToGrid/>
        <w:spacing w:line="560" w:lineRule="exact"/>
        <w:ind w:firstLine="643" w:firstLineChars="200"/>
        <w:rPr>
          <w:rFonts w:hint="eastAsia" w:ascii="Times New Roman" w:hAnsi="Times New Roman" w:cs="Times New Roman"/>
          <w:szCs w:val="32"/>
          <w:lang w:val="en-US" w:eastAsia="zh-CN"/>
        </w:rPr>
      </w:pPr>
      <w:r>
        <w:rPr>
          <w:rFonts w:hint="default" w:ascii="仿宋_GB2312" w:hAnsi="仿宋_GB2312" w:eastAsia="仿宋_GB2312" w:cs="仿宋_GB2312"/>
          <w:b/>
          <w:bCs/>
          <w:szCs w:val="32"/>
          <w:lang w:eastAsia="zh-CN"/>
        </w:rPr>
        <w:t>3</w:t>
      </w:r>
      <w:r>
        <w:rPr>
          <w:rFonts w:hint="eastAsia" w:ascii="仿宋_GB2312" w:hAnsi="仿宋_GB2312" w:eastAsia="仿宋_GB2312" w:cs="仿宋_GB2312"/>
          <w:b/>
          <w:bCs/>
          <w:szCs w:val="32"/>
          <w:lang w:val="en-US" w:eastAsia="zh-Hans"/>
        </w:rPr>
        <w:t>.</w:t>
      </w:r>
      <w:r>
        <w:rPr>
          <w:rFonts w:hint="eastAsia" w:cs="仿宋_GB2312"/>
          <w:b/>
          <w:bCs/>
          <w:szCs w:val="32"/>
          <w:lang w:val="en-US" w:eastAsia="zh-CN"/>
        </w:rPr>
        <w:t>行业实践案例不断涌现。</w:t>
      </w:r>
      <w:r>
        <w:rPr>
          <w:rFonts w:hint="eastAsia" w:ascii="Times New Roman" w:hAnsi="Times New Roman" w:cs="Times New Roman"/>
          <w:szCs w:val="32"/>
          <w:lang w:val="en-US" w:eastAsia="zh-CN"/>
        </w:rPr>
        <w:t>在数字技术与金融业务深度融合领域，深圳先后产生一批具备典型性、创新性、先进性的优秀创新实践案例。比如，人民银行深圳中心支行推动数字人民币红包在深圳市率先启动试点；微众银行推动鲲鹏芯片在银行系统架构中全面应用；中信银行信用卡中心投产“凌云”系统，是国内领先、采用自主金融级分布式数据库的银行核心业务系统；中国银联深圳分公司联合地铁集团推动深圳地铁领域金融IC卡应用；平安证券公司基于零知识认证打造新一代场外交易平台；南方基金公司打造投研一体化平台等。</w:t>
      </w:r>
    </w:p>
    <w:p>
      <w:pPr>
        <w:pageBreakBefore w:val="0"/>
        <w:widowControl w:val="0"/>
        <w:kinsoku/>
        <w:wordWrap/>
        <w:overflowPunct/>
        <w:topLinePunct w:val="0"/>
        <w:autoSpaceDE w:val="0"/>
        <w:autoSpaceDN w:val="0"/>
        <w:bidi w:val="0"/>
        <w:adjustRightInd/>
        <w:snapToGrid/>
        <w:spacing w:line="560" w:lineRule="exact"/>
        <w:ind w:firstLine="643"/>
        <w:rPr>
          <w:rFonts w:hint="default" w:ascii="仿宋_GB2312" w:hAnsi="仿宋_GB2312" w:eastAsia="仿宋_GB2312" w:cs="仿宋_GB2312"/>
          <w:szCs w:val="32"/>
          <w:lang w:val="en-US" w:eastAsia="zh-CN"/>
        </w:rPr>
      </w:pPr>
      <w:r>
        <w:rPr>
          <w:rFonts w:hint="default" w:ascii="仿宋_GB2312" w:hAnsi="仿宋_GB2312" w:eastAsia="仿宋_GB2312" w:cs="仿宋_GB2312"/>
          <w:b/>
          <w:bCs/>
          <w:szCs w:val="32"/>
          <w:lang w:eastAsia="zh-CN"/>
        </w:rPr>
        <w:t>4.</w:t>
      </w:r>
      <w:r>
        <w:rPr>
          <w:rFonts w:hint="default" w:ascii="仿宋_GB2312" w:hAnsi="仿宋_GB2312" w:eastAsia="仿宋_GB2312" w:cs="仿宋_GB2312"/>
          <w:b/>
          <w:bCs/>
          <w:szCs w:val="32"/>
          <w:lang w:val="en-US" w:eastAsia="zh-CN"/>
        </w:rPr>
        <w:t>创新</w:t>
      </w:r>
      <w:r>
        <w:rPr>
          <w:rFonts w:hint="eastAsia" w:cs="仿宋_GB2312"/>
          <w:b/>
          <w:bCs/>
          <w:szCs w:val="32"/>
          <w:lang w:val="en-US" w:eastAsia="zh-CN"/>
        </w:rPr>
        <w:t>监管试点深入推进。</w:t>
      </w:r>
      <w:r>
        <w:rPr>
          <w:rFonts w:hint="eastAsia" w:ascii="仿宋_GB2312" w:hAnsi="仿宋_GB2312" w:eastAsia="仿宋_GB2312" w:cs="仿宋_GB2312"/>
          <w:szCs w:val="32"/>
          <w:lang w:val="en-US" w:eastAsia="zh-CN"/>
        </w:rPr>
        <w:t>2019年10月，</w:t>
      </w:r>
      <w:r>
        <w:rPr>
          <w:rFonts w:hint="eastAsia" w:ascii="仿宋_GB2312" w:hAnsi="仿宋_GB2312" w:eastAsia="仿宋_GB2312" w:cs="仿宋_GB2312"/>
          <w:szCs w:val="32"/>
        </w:rPr>
        <w:t>人民银行等六部委正式批复在深圳市开展金融科技应用试点</w:t>
      </w:r>
      <w:r>
        <w:rPr>
          <w:rFonts w:hint="eastAsia" w:ascii="仿宋_GB2312" w:hAnsi="仿宋_GB2312" w:eastAsia="仿宋_GB2312" w:cs="仿宋_GB2312"/>
          <w:szCs w:val="32"/>
          <w:lang w:val="en-US" w:eastAsia="zh-CN"/>
        </w:rPr>
        <w:t>，共</w:t>
      </w:r>
      <w:r>
        <w:rPr>
          <w:rFonts w:hint="eastAsia" w:ascii="仿宋_GB2312" w:hAnsi="仿宋_GB2312" w:eastAsia="仿宋_GB2312" w:cs="仿宋_GB2312"/>
          <w:szCs w:val="32"/>
        </w:rPr>
        <w:t>29个项目</w:t>
      </w:r>
      <w:r>
        <w:rPr>
          <w:rFonts w:hint="eastAsia" w:ascii="仿宋_GB2312" w:hAnsi="仿宋_GB2312" w:eastAsia="仿宋_GB2312" w:cs="仿宋_GB2312"/>
          <w:szCs w:val="32"/>
          <w:lang w:val="en-US" w:eastAsia="zh-CN"/>
        </w:rPr>
        <w:t>申报入选并顺利结项。2020年4月，人民银行批复深圳开展金融科技创新监管试点，目前已推动三批9个创新应用测试运行</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2021年1</w:t>
      </w:r>
      <w:r>
        <w:rPr>
          <w:rFonts w:hint="eastAsia" w:cs="仿宋_GB2312"/>
          <w:szCs w:val="32"/>
          <w:lang w:val="en-US" w:eastAsia="zh-CN"/>
        </w:rPr>
        <w:t>0</w:t>
      </w:r>
      <w:r>
        <w:rPr>
          <w:rFonts w:hint="eastAsia" w:ascii="仿宋_GB2312" w:hAnsi="仿宋_GB2312" w:eastAsia="仿宋_GB2312" w:cs="仿宋_GB2312"/>
          <w:szCs w:val="32"/>
          <w:lang w:val="en-US" w:eastAsia="zh-CN"/>
        </w:rPr>
        <w:t>月，深圳</w:t>
      </w:r>
      <w:r>
        <w:rPr>
          <w:rFonts w:hint="eastAsia" w:cs="仿宋_GB2312"/>
          <w:szCs w:val="32"/>
          <w:lang w:val="en-US" w:eastAsia="zh-CN"/>
        </w:rPr>
        <w:t>获批</w:t>
      </w:r>
      <w:r>
        <w:rPr>
          <w:rFonts w:hint="eastAsia" w:ascii="仿宋_GB2312" w:hAnsi="仿宋_GB2312" w:eastAsia="仿宋_GB2312" w:cs="仿宋_GB2312"/>
          <w:szCs w:val="32"/>
          <w:lang w:val="en-US" w:eastAsia="zh-CN"/>
        </w:rPr>
        <w:t>资本市场金融科技创新试点</w:t>
      </w:r>
      <w:r>
        <w:rPr>
          <w:rFonts w:hint="eastAsia" w:cs="仿宋_GB2312"/>
          <w:szCs w:val="32"/>
          <w:lang w:val="en-US" w:eastAsia="zh-CN"/>
        </w:rPr>
        <w:t>，</w:t>
      </w:r>
      <w:r>
        <w:rPr>
          <w:rFonts w:hint="eastAsia" w:ascii="仿宋_GB2312" w:hAnsi="仿宋_GB2312" w:eastAsia="仿宋_GB2312" w:cs="仿宋_GB2312"/>
          <w:szCs w:val="32"/>
          <w:lang w:val="en-US" w:eastAsia="zh-CN"/>
        </w:rPr>
        <w:t>深圳证监局联合</w:t>
      </w:r>
      <w:r>
        <w:rPr>
          <w:rFonts w:hint="eastAsia" w:cs="仿宋_GB2312"/>
          <w:szCs w:val="32"/>
          <w:lang w:val="en-US" w:eastAsia="zh-CN"/>
        </w:rPr>
        <w:t>市地方金融监管局等成立</w:t>
      </w:r>
      <w:r>
        <w:rPr>
          <w:rFonts w:hint="eastAsia" w:ascii="仿宋_GB2312" w:hAnsi="仿宋_GB2312" w:eastAsia="仿宋_GB2312" w:cs="仿宋_GB2312"/>
          <w:szCs w:val="32"/>
          <w:lang w:val="en-US" w:eastAsia="zh-CN"/>
        </w:rPr>
        <w:t>专项工作组，</w:t>
      </w:r>
      <w:r>
        <w:rPr>
          <w:rFonts w:hint="eastAsia" w:cs="仿宋_GB2312"/>
          <w:szCs w:val="32"/>
          <w:lang w:val="en-US" w:eastAsia="zh-CN"/>
        </w:rPr>
        <w:t>推动</w:t>
      </w:r>
      <w:r>
        <w:rPr>
          <w:rFonts w:hint="eastAsia" w:ascii="仿宋_GB2312" w:hAnsi="仿宋_GB2312" w:eastAsia="仿宋_GB2312" w:cs="仿宋_GB2312"/>
          <w:szCs w:val="32"/>
          <w:lang w:val="en-US" w:eastAsia="zh-CN"/>
        </w:rPr>
        <w:t>试点</w:t>
      </w:r>
      <w:r>
        <w:rPr>
          <w:rFonts w:hint="eastAsia" w:cs="仿宋_GB2312"/>
          <w:szCs w:val="32"/>
          <w:lang w:val="en-US" w:eastAsia="zh-CN"/>
        </w:rPr>
        <w:t>顺利实施</w:t>
      </w:r>
      <w:r>
        <w:rPr>
          <w:rFonts w:hint="eastAsia" w:ascii="仿宋_GB2312" w:hAnsi="仿宋_GB2312" w:eastAsia="仿宋_GB2312" w:cs="仿宋_GB2312"/>
          <w:szCs w:val="32"/>
          <w:lang w:val="en-US" w:eastAsia="zh-CN"/>
        </w:rPr>
        <w:t>。</w:t>
      </w:r>
      <w:r>
        <w:rPr>
          <w:rFonts w:hint="eastAsia" w:cs="仿宋_GB2312"/>
          <w:szCs w:val="32"/>
          <w:lang w:val="en-US" w:eastAsia="zh-CN"/>
        </w:rPr>
        <w:t>另外，</w:t>
      </w:r>
      <w:r>
        <w:rPr>
          <w:rFonts w:hint="eastAsia" w:ascii="仿宋_GB2312" w:hAnsi="仿宋_GB2312" w:eastAsia="仿宋_GB2312" w:cs="仿宋_GB2312"/>
          <w:szCs w:val="32"/>
          <w:lang w:val="en-US" w:eastAsia="zh-CN"/>
        </w:rPr>
        <w:t>深圳证监局指导</w:t>
      </w:r>
      <w:r>
        <w:rPr>
          <w:rFonts w:hint="eastAsia" w:cs="仿宋_GB2312"/>
          <w:szCs w:val="32"/>
          <w:lang w:val="en-US" w:eastAsia="zh-CN"/>
        </w:rPr>
        <w:t>率先</w:t>
      </w:r>
      <w:r>
        <w:rPr>
          <w:rFonts w:hint="eastAsia" w:ascii="仿宋_GB2312" w:hAnsi="仿宋_GB2312" w:eastAsia="仿宋_GB2312" w:cs="仿宋_GB2312"/>
          <w:szCs w:val="32"/>
          <w:lang w:val="en-US" w:eastAsia="zh-CN"/>
        </w:rPr>
        <w:t>成立</w:t>
      </w:r>
      <w:r>
        <w:rPr>
          <w:rFonts w:hint="eastAsia" w:cs="仿宋_GB2312"/>
          <w:szCs w:val="32"/>
          <w:lang w:val="en-US" w:eastAsia="zh-CN"/>
        </w:rPr>
        <w:t>“</w:t>
      </w:r>
      <w:r>
        <w:rPr>
          <w:rFonts w:hint="eastAsia" w:ascii="仿宋_GB2312" w:hAnsi="仿宋_GB2312" w:eastAsia="仿宋_GB2312" w:cs="仿宋_GB2312"/>
          <w:szCs w:val="32"/>
          <w:lang w:val="en-US" w:eastAsia="zh-CN"/>
        </w:rPr>
        <w:t>资本市场金融科技委员会</w:t>
      </w:r>
      <w:r>
        <w:rPr>
          <w:rFonts w:hint="eastAsia" w:cs="仿宋_GB2312"/>
          <w:szCs w:val="32"/>
          <w:lang w:val="en-US" w:eastAsia="zh-CN"/>
        </w:rPr>
        <w:t>”，聚焦</w:t>
      </w:r>
      <w:r>
        <w:rPr>
          <w:rFonts w:hint="eastAsia" w:ascii="仿宋_GB2312" w:hAnsi="仿宋_GB2312" w:eastAsia="仿宋_GB2312" w:cs="仿宋_GB2312"/>
          <w:szCs w:val="32"/>
          <w:lang w:val="en-US" w:eastAsia="zh-CN"/>
        </w:rPr>
        <w:t>证券期货业金融科技</w:t>
      </w:r>
      <w:r>
        <w:rPr>
          <w:rFonts w:hint="eastAsia" w:cs="仿宋_GB2312"/>
          <w:szCs w:val="32"/>
          <w:lang w:val="en-US" w:eastAsia="zh-CN"/>
        </w:rPr>
        <w:t>发展工作；</w:t>
      </w:r>
      <w:r>
        <w:rPr>
          <w:rFonts w:hint="eastAsia" w:ascii="仿宋_GB2312" w:hAnsi="仿宋_GB2312" w:eastAsia="仿宋_GB2312" w:cs="仿宋_GB2312"/>
          <w:szCs w:val="32"/>
          <w:lang w:val="en-US" w:eastAsia="zh-CN"/>
        </w:rPr>
        <w:t>深圳市金融局推动成立</w:t>
      </w:r>
      <w:r>
        <w:rPr>
          <w:rFonts w:hint="eastAsia" w:cs="仿宋_GB2312"/>
          <w:szCs w:val="32"/>
          <w:lang w:val="en-US" w:eastAsia="zh-CN"/>
        </w:rPr>
        <w:t>国内</w:t>
      </w:r>
      <w:r>
        <w:rPr>
          <w:rFonts w:hint="eastAsia" w:ascii="仿宋_GB2312" w:hAnsi="仿宋_GB2312" w:eastAsia="仿宋_GB2312" w:cs="仿宋_GB2312"/>
          <w:szCs w:val="32"/>
          <w:lang w:val="en-US" w:eastAsia="zh-CN"/>
        </w:rPr>
        <w:t>首个金融科技伦理委员会，并</w:t>
      </w:r>
      <w:r>
        <w:rPr>
          <w:rFonts w:hint="eastAsia" w:cs="仿宋_GB2312"/>
          <w:szCs w:val="32"/>
          <w:lang w:val="en-US" w:eastAsia="zh-CN"/>
        </w:rPr>
        <w:t>倡导</w:t>
      </w:r>
      <w:r>
        <w:rPr>
          <w:rFonts w:hint="eastAsia" w:ascii="仿宋_GB2312" w:hAnsi="仿宋_GB2312" w:eastAsia="仿宋_GB2312" w:cs="仿宋_GB2312"/>
          <w:szCs w:val="32"/>
          <w:lang w:val="en-US" w:eastAsia="zh-CN"/>
        </w:rPr>
        <w:t>发布《深圳市金融科技伦理宣言》，</w:t>
      </w:r>
      <w:r>
        <w:rPr>
          <w:rFonts w:hint="eastAsia" w:cs="仿宋_GB2312"/>
          <w:szCs w:val="32"/>
          <w:lang w:val="en-US" w:eastAsia="zh-CN"/>
        </w:rPr>
        <w:t>推动行业严守合规底线</w:t>
      </w:r>
      <w:r>
        <w:rPr>
          <w:rFonts w:hint="eastAsia" w:ascii="仿宋_GB2312" w:hAnsi="仿宋_GB2312" w:eastAsia="仿宋_GB2312" w:cs="仿宋_GB2312"/>
          <w:szCs w:val="32"/>
          <w:lang w:val="en-US" w:eastAsia="zh-CN"/>
        </w:rPr>
        <w:t>，</w:t>
      </w:r>
      <w:r>
        <w:rPr>
          <w:rFonts w:hint="eastAsia" w:cs="仿宋_GB2312"/>
          <w:szCs w:val="32"/>
          <w:lang w:val="en-US" w:eastAsia="zh-CN"/>
        </w:rPr>
        <w:t>做到</w:t>
      </w:r>
      <w:r>
        <w:rPr>
          <w:rFonts w:hint="eastAsia" w:ascii="仿宋_GB2312" w:hAnsi="仿宋_GB2312" w:eastAsia="仿宋_GB2312" w:cs="仿宋_GB2312"/>
          <w:szCs w:val="32"/>
          <w:lang w:val="en-US" w:eastAsia="zh-CN"/>
        </w:rPr>
        <w:t>守正创新。在监管科技应用方面，深圳市</w:t>
      </w:r>
      <w:r>
        <w:rPr>
          <w:rFonts w:hint="eastAsia" w:cs="仿宋_GB2312"/>
          <w:szCs w:val="32"/>
          <w:lang w:val="en-US" w:eastAsia="zh-CN"/>
        </w:rPr>
        <w:t>开发</w:t>
      </w:r>
      <w:r>
        <w:rPr>
          <w:rFonts w:hint="eastAsia" w:ascii="仿宋_GB2312" w:hAnsi="仿宋_GB2312" w:eastAsia="仿宋_GB2312" w:cs="仿宋_GB2312"/>
          <w:szCs w:val="32"/>
          <w:lang w:val="en-US" w:eastAsia="zh-CN"/>
        </w:rPr>
        <w:t>了地方金融风险监测预警系统</w:t>
      </w:r>
      <w:r>
        <w:rPr>
          <w:rFonts w:hint="eastAsia" w:cs="仿宋_GB2312"/>
          <w:szCs w:val="32"/>
          <w:lang w:val="en-US" w:eastAsia="zh-CN"/>
        </w:rPr>
        <w:t>、</w:t>
      </w:r>
      <w:r>
        <w:rPr>
          <w:rFonts w:hint="eastAsia" w:ascii="仿宋_GB2312" w:hAnsi="仿宋_GB2312" w:eastAsia="仿宋_GB2312" w:cs="仿宋_GB2312"/>
          <w:szCs w:val="32"/>
          <w:lang w:val="en-US" w:eastAsia="zh-CN"/>
        </w:rPr>
        <w:t>大数据市场监察系统等</w:t>
      </w:r>
      <w:r>
        <w:rPr>
          <w:rFonts w:hint="eastAsia" w:cs="仿宋_GB2312"/>
          <w:szCs w:val="32"/>
          <w:lang w:val="en-US" w:eastAsia="zh-CN"/>
        </w:rPr>
        <w:t>，通过科技赋能提高风险精准识别防范能力。</w:t>
      </w:r>
    </w:p>
    <w:p>
      <w:pPr>
        <w:keepNext w:val="0"/>
        <w:keepLines w:val="0"/>
        <w:pageBreakBefore w:val="0"/>
        <w:widowControl w:val="0"/>
        <w:kinsoku/>
        <w:wordWrap/>
        <w:overflowPunct/>
        <w:topLinePunct w:val="0"/>
        <w:autoSpaceDE w:val="0"/>
        <w:autoSpaceDN w:val="0"/>
        <w:bidi w:val="0"/>
        <w:adjustRightInd/>
        <w:snapToGrid/>
        <w:spacing w:line="560" w:lineRule="exact"/>
        <w:ind w:firstLine="619" w:firstLineChars="200"/>
        <w:rPr>
          <w:rFonts w:hint="eastAsia" w:ascii="Times New Roman" w:hAnsi="Times New Roman" w:cs="Times New Roman"/>
          <w:kern w:val="2"/>
          <w:sz w:val="32"/>
          <w:szCs w:val="32"/>
          <w:lang w:val="en-US" w:eastAsia="zh-CN" w:bidi="ar-SA"/>
        </w:rPr>
      </w:pPr>
      <w:r>
        <w:rPr>
          <w:rFonts w:hint="eastAsia" w:cs="仿宋_GB2312"/>
          <w:b/>
          <w:bCs/>
          <w:spacing w:val="-6"/>
          <w:sz w:val="32"/>
          <w:szCs w:val="32"/>
          <w:lang w:val="en-US" w:eastAsia="zh-CN"/>
        </w:rPr>
        <w:t>5.基础服务支撑不断巩固。</w:t>
      </w:r>
      <w:r>
        <w:rPr>
          <w:rFonts w:hint="eastAsia" w:ascii="仿宋_GB2312" w:hAnsi="仿宋_GB2312" w:eastAsia="仿宋_GB2312" w:cs="仿宋_GB2312"/>
          <w:spacing w:val="-6"/>
          <w:sz w:val="32"/>
          <w:szCs w:val="32"/>
          <w:lang w:val="en-US" w:eastAsia="zh-CN"/>
        </w:rPr>
        <w:t>国证香蜜湖金融科技指数于2017年完成编制并上市，与该指数挂钩的LOF基金产品也成功发行，一批</w:t>
      </w:r>
      <w:r>
        <w:rPr>
          <w:rFonts w:hint="eastAsia" w:cs="仿宋_GB2312"/>
          <w:spacing w:val="-6"/>
          <w:sz w:val="32"/>
          <w:szCs w:val="32"/>
          <w:lang w:val="en-US" w:eastAsia="zh-CN"/>
        </w:rPr>
        <w:t>金融科技类企业</w:t>
      </w:r>
      <w:r>
        <w:rPr>
          <w:rFonts w:hint="eastAsia" w:ascii="仿宋_GB2312" w:hAnsi="仿宋_GB2312" w:eastAsia="仿宋_GB2312" w:cs="仿宋_GB2312"/>
          <w:spacing w:val="-6"/>
          <w:sz w:val="32"/>
          <w:szCs w:val="32"/>
          <w:lang w:val="en-US" w:eastAsia="zh-CN"/>
        </w:rPr>
        <w:t>在境内外上市或获多轮风险投资，融资环境不断优化。借鉴特许金融分析师（CFA）、金融风险管理师（FRM）等经验，深港澳三地金融监管局联合行业协会、高等院校等于2019年启动“深港澳金融科技师专才计划”（SHMFTPP），建立集培训、考试、认定为一体的培养机制，已产生1</w:t>
      </w:r>
      <w:r>
        <w:rPr>
          <w:rFonts w:hint="eastAsia" w:cs="仿宋_GB2312"/>
          <w:spacing w:val="-6"/>
          <w:sz w:val="32"/>
          <w:szCs w:val="32"/>
          <w:lang w:val="en-US" w:eastAsia="zh-CN"/>
        </w:rPr>
        <w:t>376</w:t>
      </w:r>
      <w:r>
        <w:rPr>
          <w:rFonts w:hint="eastAsia" w:ascii="仿宋_GB2312" w:hAnsi="仿宋_GB2312" w:eastAsia="仿宋_GB2312" w:cs="仿宋_GB2312"/>
          <w:spacing w:val="-6"/>
          <w:sz w:val="32"/>
          <w:szCs w:val="32"/>
          <w:lang w:val="en-US" w:eastAsia="zh-CN"/>
        </w:rPr>
        <w:t>名一级持证人和75名二级持证人，</w:t>
      </w:r>
      <w:r>
        <w:rPr>
          <w:rFonts w:hint="eastAsia" w:ascii="Times New Roman" w:hAnsi="Times New Roman" w:cs="Times New Roman"/>
          <w:spacing w:val="-6"/>
          <w:sz w:val="32"/>
          <w:szCs w:val="32"/>
          <w:lang w:val="en-US" w:eastAsia="zh-CN"/>
        </w:rPr>
        <w:t>人才支撑优势突出。深圳金融科技研究院（央行金融科技研究院）、国家金融科技测评中心等重大基础设施相继落地，发挥引领带动作用。</w:t>
      </w:r>
      <w:r>
        <w:rPr>
          <w:rFonts w:hint="eastAsia" w:ascii="Times New Roman" w:hAnsi="Times New Roman" w:eastAsia="仿宋_GB2312" w:cs="Times New Roman"/>
          <w:spacing w:val="-6"/>
          <w:kern w:val="2"/>
          <w:sz w:val="32"/>
          <w:szCs w:val="32"/>
          <w:lang w:val="en-US" w:eastAsia="zh-CN" w:bidi="ar-SA"/>
        </w:rPr>
        <w:t>深圳大学、南方科技大学、中科院深圳理工大学</w:t>
      </w:r>
      <w:r>
        <w:rPr>
          <w:rFonts w:hint="eastAsia" w:ascii="Times New Roman" w:hAnsi="Times New Roman" w:cs="Times New Roman"/>
          <w:spacing w:val="-6"/>
          <w:kern w:val="2"/>
          <w:sz w:val="32"/>
          <w:szCs w:val="32"/>
          <w:lang w:val="en-US" w:eastAsia="zh-CN" w:bidi="ar-SA"/>
        </w:rPr>
        <w:t>等</w:t>
      </w:r>
      <w:r>
        <w:rPr>
          <w:rFonts w:hint="eastAsia" w:ascii="Times New Roman" w:hAnsi="Times New Roman" w:eastAsia="仿宋_GB2312" w:cs="Times New Roman"/>
          <w:spacing w:val="-6"/>
          <w:kern w:val="2"/>
          <w:sz w:val="32"/>
          <w:szCs w:val="32"/>
          <w:lang w:val="en-US" w:eastAsia="zh-CN" w:bidi="ar-SA"/>
        </w:rPr>
        <w:t>在人工智能、区块链等</w:t>
      </w:r>
      <w:r>
        <w:rPr>
          <w:rFonts w:hint="eastAsia" w:ascii="Times New Roman" w:hAnsi="Times New Roman" w:cs="Times New Roman"/>
          <w:spacing w:val="-6"/>
          <w:kern w:val="2"/>
          <w:sz w:val="32"/>
          <w:szCs w:val="32"/>
          <w:lang w:val="en-US" w:eastAsia="zh-CN" w:bidi="ar-SA"/>
        </w:rPr>
        <w:t>领域开展深入研究，促进了理论与应用发展。</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_GB2312" w:hAnsi="仿宋_GB2312" w:eastAsia="仿宋_GB2312" w:cs="仿宋_GB2312"/>
          <w:color w:val="0000FF"/>
          <w:kern w:val="2"/>
          <w:sz w:val="32"/>
          <w:szCs w:val="32"/>
          <w:lang w:val="en-US" w:eastAsia="zh-CN" w:bidi="ar-SA"/>
        </w:rPr>
      </w:pPr>
      <w:r>
        <w:rPr>
          <w:rFonts w:hint="eastAsia" w:cs="仿宋_GB2312"/>
          <w:b/>
          <w:bCs/>
          <w:szCs w:val="32"/>
          <w:lang w:val="en-US" w:eastAsia="zh-CN"/>
        </w:rPr>
        <w:t>6</w:t>
      </w:r>
      <w:r>
        <w:rPr>
          <w:rFonts w:hint="default" w:ascii="仿宋_GB2312" w:hAnsi="仿宋_GB2312" w:eastAsia="仿宋_GB2312" w:cs="仿宋_GB2312"/>
          <w:b/>
          <w:bCs/>
          <w:szCs w:val="32"/>
          <w:lang w:eastAsia="zh-CN"/>
        </w:rPr>
        <w:t>.</w:t>
      </w:r>
      <w:r>
        <w:rPr>
          <w:rFonts w:hint="eastAsia" w:cs="仿宋_GB2312"/>
          <w:b/>
          <w:bCs/>
          <w:szCs w:val="32"/>
          <w:lang w:val="en-US" w:eastAsia="zh-CN"/>
        </w:rPr>
        <w:t>互动交流</w:t>
      </w:r>
      <w:r>
        <w:rPr>
          <w:rFonts w:hint="eastAsia" w:ascii="仿宋_GB2312" w:hAnsi="仿宋_GB2312" w:eastAsia="仿宋_GB2312" w:cs="仿宋_GB2312"/>
          <w:b/>
          <w:bCs/>
          <w:szCs w:val="32"/>
          <w:lang w:val="en-US" w:eastAsia="zh-CN"/>
        </w:rPr>
        <w:t>合作</w:t>
      </w:r>
      <w:r>
        <w:rPr>
          <w:rFonts w:hint="default" w:cs="仿宋_GB2312"/>
          <w:b/>
          <w:bCs/>
          <w:szCs w:val="32"/>
          <w:lang w:eastAsia="zh-CN"/>
        </w:rPr>
        <w:t>日益</w:t>
      </w:r>
      <w:r>
        <w:rPr>
          <w:rFonts w:hint="eastAsia" w:ascii="仿宋_GB2312" w:hAnsi="仿宋_GB2312" w:eastAsia="仿宋_GB2312" w:cs="仿宋_GB2312"/>
          <w:b/>
          <w:bCs/>
          <w:szCs w:val="32"/>
          <w:lang w:val="en-US" w:eastAsia="zh-CN"/>
        </w:rPr>
        <w:t>密切</w:t>
      </w:r>
      <w:r>
        <w:rPr>
          <w:rFonts w:hint="eastAsia" w:cs="仿宋_GB2312"/>
          <w:b/>
          <w:bCs/>
          <w:szCs w:val="32"/>
          <w:lang w:val="en-US" w:eastAsia="zh-CN"/>
        </w:rPr>
        <w:t>。</w:t>
      </w:r>
      <w:r>
        <w:rPr>
          <w:rFonts w:hint="eastAsia" w:ascii="Times New Roman" w:hAnsi="Times New Roman" w:cs="Times New Roman"/>
          <w:spacing w:val="-6"/>
          <w:kern w:val="2"/>
          <w:sz w:val="32"/>
          <w:szCs w:val="32"/>
          <w:lang w:val="en-US" w:eastAsia="zh-CN" w:bidi="ar-SA"/>
        </w:rPr>
        <w:t>深港两地在金融科技发展、人才培训、经验交流等方面紧密合作，签署了合作备忘录，深港澳金融科技联盟秘书处落</w:t>
      </w:r>
      <w:r>
        <w:rPr>
          <w:rFonts w:hint="eastAsia" w:ascii="仿宋_GB2312" w:hAnsi="仿宋_GB2312" w:eastAsia="仿宋_GB2312" w:cs="仿宋_GB2312"/>
          <w:spacing w:val="-6"/>
          <w:kern w:val="2"/>
          <w:sz w:val="32"/>
          <w:szCs w:val="32"/>
          <w:lang w:val="en-US" w:eastAsia="zh-CN" w:bidi="ar-SA"/>
        </w:rPr>
        <w:t>地深圳。自2016年起，深港澳金融监管部门等已联合举办6届</w:t>
      </w:r>
      <w:r>
        <w:rPr>
          <w:rFonts w:hint="eastAsia" w:ascii="Times New Roman" w:hAnsi="Times New Roman" w:cs="Times New Roman"/>
          <w:spacing w:val="-6"/>
          <w:kern w:val="2"/>
          <w:sz w:val="32"/>
          <w:szCs w:val="32"/>
          <w:lang w:val="en-US" w:eastAsia="zh-CN" w:bidi="ar-SA"/>
        </w:rPr>
        <w:t>中国（深圳）金融科技全球峰会，围绕金融科技赋能普惠金融、金融新基建、数据治理创新、金融科技伦理等议题开展高端对话交流。同时，深圳与伦敦金融城、新加坡、阿布扎比等国际金融中心就金融科技已开展多次互动交流，分享经验、探讨合作。此外，业界的论坛活动丰富多元，比如深交所承了证券期货业金融科技研究发展中心，并每年举办行业技术大会；深圳市金融科技协会连续举办十届中国金融科技发展论坛，中小银行互联网金融（深圳）联盟举办5届中国数字银行论坛等；深圳市金融区块链发展促进会连续举办三届区块链生态大会。</w:t>
      </w:r>
    </w:p>
    <w:p>
      <w:pPr>
        <w:pStyle w:val="4"/>
        <w:pageBreakBefore w:val="0"/>
        <w:widowControl w:val="0"/>
        <w:kinsoku/>
        <w:wordWrap/>
        <w:overflowPunct/>
        <w:topLinePunct w:val="0"/>
        <w:autoSpaceDE w:val="0"/>
        <w:autoSpaceDN w:val="0"/>
        <w:bidi w:val="0"/>
        <w:adjustRightInd/>
        <w:snapToGrid/>
        <w:spacing w:line="560" w:lineRule="exact"/>
        <w:ind w:firstLine="643"/>
        <w:rPr>
          <w:rFonts w:hint="eastAsia" w:ascii="Times New Roman" w:hAnsi="Times New Roman" w:eastAsia="楷体_GB2312" w:cs="Times New Roman"/>
          <w:lang w:eastAsia="zh-CN"/>
        </w:rPr>
      </w:pPr>
      <w:bookmarkStart w:id="5" w:name="_Toc8025"/>
      <w:bookmarkStart w:id="6" w:name="_Toc729319849"/>
      <w:bookmarkStart w:id="7" w:name="_Toc6212"/>
      <w:bookmarkStart w:id="8" w:name="_Toc5289"/>
      <w:r>
        <w:rPr>
          <w:rFonts w:ascii="Times New Roman" w:hAnsi="Times New Roman" w:cs="Times New Roman"/>
        </w:rPr>
        <w:t>（二）存在</w:t>
      </w:r>
      <w:bookmarkEnd w:id="5"/>
      <w:r>
        <w:rPr>
          <w:rFonts w:hint="eastAsia" w:ascii="Times New Roman" w:hAnsi="Times New Roman" w:cs="Times New Roman"/>
          <w:lang w:eastAsia="zh-CN"/>
        </w:rPr>
        <w:t>不足</w:t>
      </w:r>
      <w:bookmarkEnd w:id="6"/>
    </w:p>
    <w:p>
      <w:pPr>
        <w:pageBreakBefore w:val="0"/>
        <w:widowControl w:val="0"/>
        <w:kinsoku/>
        <w:wordWrap/>
        <w:overflowPunct/>
        <w:topLinePunct w:val="0"/>
        <w:autoSpaceDE w:val="0"/>
        <w:autoSpaceDN w:val="0"/>
        <w:bidi w:val="0"/>
        <w:adjustRightInd/>
        <w:snapToGrid/>
        <w:spacing w:line="560" w:lineRule="exact"/>
        <w:rPr>
          <w:rFonts w:hint="eastAsia" w:cs="仿宋_GB2312"/>
          <w:b/>
          <w:bCs/>
          <w:szCs w:val="32"/>
        </w:rPr>
      </w:pPr>
      <w:r>
        <w:rPr>
          <w:rFonts w:hint="eastAsia" w:ascii="Times New Roman" w:hAnsi="Times New Roman" w:cs="Times New Roman"/>
          <w:spacing w:val="-6"/>
          <w:kern w:val="2"/>
          <w:sz w:val="32"/>
          <w:szCs w:val="32"/>
          <w:lang w:val="en-US" w:eastAsia="zh-CN" w:bidi="ar-SA"/>
        </w:rPr>
        <w:t>在肯定成绩的同时，也要清醒看到当前深圳金融科技发展存在的不足：</w:t>
      </w:r>
      <w:r>
        <w:rPr>
          <w:rFonts w:hint="eastAsia" w:ascii="Times New Roman" w:hAnsi="Times New Roman" w:cs="Times New Roman"/>
          <w:b/>
          <w:bCs/>
          <w:spacing w:val="-6"/>
          <w:kern w:val="2"/>
          <w:sz w:val="32"/>
          <w:szCs w:val="32"/>
          <w:lang w:val="en-US" w:eastAsia="zh-CN" w:bidi="ar-SA"/>
        </w:rPr>
        <w:t>一是</w:t>
      </w:r>
      <w:r>
        <w:rPr>
          <w:rFonts w:hint="eastAsia" w:ascii="Times New Roman" w:hAnsi="Times New Roman" w:cs="Times New Roman"/>
          <w:spacing w:val="-6"/>
          <w:kern w:val="2"/>
          <w:sz w:val="32"/>
          <w:szCs w:val="32"/>
          <w:lang w:val="en-US" w:eastAsia="zh-CN" w:bidi="ar-SA"/>
        </w:rPr>
        <w:t>整体布局尚不均衡，</w:t>
      </w:r>
      <w:r>
        <w:rPr>
          <w:rFonts w:hint="eastAsia" w:ascii="Times New Roman" w:hAnsi="Times New Roman" w:cs="Times New Roman"/>
          <w:szCs w:val="32"/>
          <w:lang w:eastAsia="zh-CN"/>
        </w:rPr>
        <w:t>金融科技类企业</w:t>
      </w:r>
      <w:r>
        <w:rPr>
          <w:rFonts w:hint="eastAsia" w:ascii="Times New Roman" w:hAnsi="Times New Roman" w:cs="Times New Roman"/>
          <w:szCs w:val="32"/>
        </w:rPr>
        <w:t>集群</w:t>
      </w:r>
      <w:r>
        <w:rPr>
          <w:rFonts w:hint="eastAsia" w:ascii="Times New Roman" w:hAnsi="Times New Roman" w:cs="Times New Roman"/>
          <w:szCs w:val="32"/>
          <w:lang w:eastAsia="zh-CN"/>
        </w:rPr>
        <w:t>、市场主体梯队建设仍需完善，</w:t>
      </w:r>
      <w:r>
        <w:rPr>
          <w:rFonts w:hint="eastAsia" w:ascii="Times New Roman" w:hAnsi="Times New Roman" w:cs="Times New Roman"/>
          <w:szCs w:val="32"/>
        </w:rPr>
        <w:t>各区优势产业与金融科技融合发展的程度有待提升</w:t>
      </w:r>
      <w:r>
        <w:rPr>
          <w:rFonts w:hint="eastAsia" w:ascii="Times New Roman" w:hAnsi="Times New Roman" w:cs="Times New Roman"/>
          <w:szCs w:val="32"/>
          <w:lang w:eastAsia="zh-CN"/>
        </w:rPr>
        <w:t>；</w:t>
      </w:r>
      <w:r>
        <w:rPr>
          <w:rFonts w:hint="eastAsia" w:ascii="Times New Roman" w:hAnsi="Times New Roman" w:cs="Times New Roman"/>
          <w:b/>
          <w:bCs/>
          <w:szCs w:val="32"/>
          <w:lang w:eastAsia="zh-CN"/>
        </w:rPr>
        <w:t>二是</w:t>
      </w:r>
      <w:r>
        <w:rPr>
          <w:rFonts w:hint="eastAsia" w:ascii="Times New Roman" w:hAnsi="Times New Roman" w:cs="Times New Roman"/>
          <w:szCs w:val="32"/>
          <w:lang w:eastAsia="zh-CN"/>
        </w:rPr>
        <w:t>应用场景还待拓展，</w:t>
      </w:r>
      <w:r>
        <w:rPr>
          <w:rFonts w:hint="eastAsia" w:ascii="Times New Roman" w:hAnsi="Times New Roman" w:cs="Times New Roman"/>
          <w:szCs w:val="32"/>
        </w:rPr>
        <w:t>在</w:t>
      </w:r>
      <w:r>
        <w:rPr>
          <w:rFonts w:hint="eastAsia" w:ascii="Times New Roman" w:hAnsi="Times New Roman" w:cs="Times New Roman"/>
          <w:szCs w:val="32"/>
          <w:lang w:eastAsia="zh-CN"/>
        </w:rPr>
        <w:t>金融科技赋能跨境合作、</w:t>
      </w:r>
      <w:r>
        <w:rPr>
          <w:rFonts w:hint="eastAsia" w:ascii="Times New Roman" w:hAnsi="Times New Roman" w:cs="Times New Roman"/>
          <w:szCs w:val="32"/>
        </w:rPr>
        <w:t>普惠民生、绿色环保、乡村振兴、海洋经济等领域</w:t>
      </w:r>
      <w:r>
        <w:rPr>
          <w:rFonts w:hint="eastAsia" w:ascii="Times New Roman" w:hAnsi="Times New Roman" w:cs="Times New Roman"/>
          <w:szCs w:val="32"/>
          <w:lang w:eastAsia="zh-CN"/>
        </w:rPr>
        <w:t>还需</w:t>
      </w:r>
      <w:r>
        <w:rPr>
          <w:rFonts w:hint="eastAsia" w:ascii="Times New Roman" w:hAnsi="Times New Roman" w:cs="Times New Roman"/>
          <w:szCs w:val="32"/>
        </w:rPr>
        <w:t>开发创造更多的亮点应用</w:t>
      </w:r>
      <w:r>
        <w:rPr>
          <w:rFonts w:hint="eastAsia" w:ascii="Times New Roman" w:hAnsi="Times New Roman" w:cs="Times New Roman"/>
          <w:szCs w:val="32"/>
          <w:lang w:eastAsia="zh-CN"/>
        </w:rPr>
        <w:t>；</w:t>
      </w:r>
      <w:r>
        <w:rPr>
          <w:rFonts w:hint="eastAsia" w:ascii="Times New Roman" w:hAnsi="Times New Roman" w:cs="Times New Roman"/>
          <w:b/>
          <w:bCs/>
          <w:szCs w:val="32"/>
          <w:lang w:eastAsia="zh-CN"/>
        </w:rPr>
        <w:t>三是</w:t>
      </w:r>
      <w:r>
        <w:rPr>
          <w:rFonts w:hint="eastAsia" w:ascii="Times New Roman" w:hAnsi="Times New Roman" w:cs="Times New Roman"/>
          <w:szCs w:val="32"/>
        </w:rPr>
        <w:t>投融资体系仍需完善，</w:t>
      </w:r>
      <w:r>
        <w:rPr>
          <w:rFonts w:hint="eastAsia" w:ascii="Times New Roman" w:hAnsi="Times New Roman" w:cs="Times New Roman"/>
          <w:szCs w:val="32"/>
          <w:lang w:eastAsia="zh-CN"/>
        </w:rPr>
        <w:t>围绕</w:t>
      </w:r>
      <w:r>
        <w:rPr>
          <w:rFonts w:hint="eastAsia" w:ascii="Times New Roman" w:hAnsi="Times New Roman" w:cs="Times New Roman"/>
          <w:szCs w:val="32"/>
        </w:rPr>
        <w:t>金融科技领域股权投资份额的托管、估值、质押、转让等机制有待</w:t>
      </w:r>
      <w:r>
        <w:rPr>
          <w:rFonts w:hint="eastAsia" w:ascii="Times New Roman" w:hAnsi="Times New Roman" w:cs="Times New Roman"/>
          <w:szCs w:val="32"/>
          <w:lang w:eastAsia="zh-CN"/>
        </w:rPr>
        <w:t>构建</w:t>
      </w:r>
      <w:r>
        <w:rPr>
          <w:rFonts w:hint="eastAsia" w:ascii="Times New Roman" w:hAnsi="Times New Roman" w:cs="Times New Roman"/>
          <w:szCs w:val="32"/>
        </w:rPr>
        <w:t>，金融科技指数及与其挂钩的投资产品</w:t>
      </w:r>
      <w:r>
        <w:rPr>
          <w:rFonts w:hint="eastAsia" w:ascii="Times New Roman" w:hAnsi="Times New Roman" w:cs="Times New Roman"/>
          <w:szCs w:val="32"/>
          <w:lang w:eastAsia="zh-CN"/>
        </w:rPr>
        <w:t>还不</w:t>
      </w:r>
      <w:r>
        <w:rPr>
          <w:rFonts w:hint="eastAsia" w:ascii="Times New Roman" w:hAnsi="Times New Roman" w:cs="Times New Roman"/>
          <w:szCs w:val="32"/>
        </w:rPr>
        <w:t>丰富</w:t>
      </w:r>
      <w:r>
        <w:rPr>
          <w:rFonts w:hint="eastAsia" w:ascii="Times New Roman" w:hAnsi="Times New Roman" w:cs="Times New Roman"/>
          <w:szCs w:val="32"/>
          <w:lang w:eastAsia="zh-CN"/>
        </w:rPr>
        <w:t>；</w:t>
      </w:r>
      <w:r>
        <w:rPr>
          <w:rFonts w:hint="eastAsia" w:ascii="Times New Roman" w:hAnsi="Times New Roman" w:cs="Times New Roman"/>
          <w:b/>
          <w:bCs/>
          <w:kern w:val="2"/>
          <w:sz w:val="32"/>
          <w:szCs w:val="32"/>
          <w:lang w:val="en-US" w:eastAsia="zh-CN" w:bidi="ar-SA"/>
        </w:rPr>
        <w:t>四是</w:t>
      </w:r>
      <w:r>
        <w:rPr>
          <w:rFonts w:hint="eastAsia" w:ascii="Times New Roman" w:hAnsi="Times New Roman" w:eastAsia="仿宋_GB2312" w:cs="Times New Roman"/>
          <w:kern w:val="2"/>
          <w:sz w:val="32"/>
          <w:szCs w:val="32"/>
          <w:lang w:val="en-US" w:eastAsia="zh-CN" w:bidi="ar-SA"/>
        </w:rPr>
        <w:t>创新监管机制有待健全，</w:t>
      </w:r>
      <w:r>
        <w:rPr>
          <w:rFonts w:hint="eastAsia" w:ascii="Times New Roman" w:hAnsi="Times New Roman" w:cs="Times New Roman"/>
          <w:kern w:val="2"/>
          <w:sz w:val="32"/>
          <w:szCs w:val="32"/>
          <w:lang w:val="en-US" w:eastAsia="zh-CN" w:bidi="ar-SA"/>
        </w:rPr>
        <w:t>金融科技创新监管试点需持续深化，围绕</w:t>
      </w:r>
      <w:r>
        <w:rPr>
          <w:rFonts w:hint="eastAsia" w:ascii="Times New Roman" w:hAnsi="Times New Roman" w:cs="Times New Roman"/>
          <w:szCs w:val="32"/>
        </w:rPr>
        <w:t>项目申报、评审准入、信息披露、投诉受理、公众监督、数据应用、模型治理、风险监测、出盒认证等</w:t>
      </w:r>
      <w:r>
        <w:rPr>
          <w:rFonts w:hint="eastAsia" w:ascii="Times New Roman" w:hAnsi="Times New Roman" w:cs="Times New Roman"/>
          <w:szCs w:val="32"/>
          <w:lang w:eastAsia="zh-CN"/>
        </w:rPr>
        <w:t>全链条的制度标准建设以及</w:t>
      </w:r>
      <w:r>
        <w:rPr>
          <w:rFonts w:hint="eastAsia" w:ascii="Times New Roman" w:hAnsi="Times New Roman" w:cs="Times New Roman"/>
          <w:szCs w:val="32"/>
        </w:rPr>
        <w:t>金融科技伦理体系建设</w:t>
      </w:r>
      <w:r>
        <w:rPr>
          <w:rFonts w:hint="eastAsia" w:ascii="Times New Roman" w:hAnsi="Times New Roman" w:cs="Times New Roman"/>
          <w:szCs w:val="32"/>
          <w:lang w:eastAsia="zh-CN"/>
        </w:rPr>
        <w:t>还需持续发力；</w:t>
      </w:r>
      <w:r>
        <w:rPr>
          <w:rFonts w:hint="eastAsia" w:ascii="Times New Roman" w:hAnsi="Times New Roman" w:cs="Times New Roman"/>
          <w:b/>
          <w:bCs/>
          <w:szCs w:val="32"/>
          <w:lang w:eastAsia="zh-CN"/>
        </w:rPr>
        <w:t>五是</w:t>
      </w:r>
      <w:r>
        <w:rPr>
          <w:rFonts w:hint="eastAsia" w:ascii="Times New Roman" w:hAnsi="Times New Roman" w:cs="Times New Roman"/>
          <w:szCs w:val="32"/>
          <w:lang w:eastAsia="zh-CN"/>
        </w:rPr>
        <w:t>配套支撑体系还需提升，</w:t>
      </w:r>
      <w:r>
        <w:rPr>
          <w:rFonts w:hint="eastAsia" w:ascii="Times New Roman" w:hAnsi="Times New Roman" w:cs="Times New Roman"/>
          <w:szCs w:val="32"/>
        </w:rPr>
        <w:t>针对金融科技研发成果的全生命周期孵化转化</w:t>
      </w:r>
      <w:r>
        <w:rPr>
          <w:rFonts w:hint="eastAsia" w:ascii="Times New Roman" w:hAnsi="Times New Roman" w:cs="Times New Roman"/>
          <w:szCs w:val="32"/>
          <w:lang w:eastAsia="zh-CN"/>
        </w:rPr>
        <w:t>以及服务</w:t>
      </w:r>
      <w:r>
        <w:rPr>
          <w:rFonts w:hint="eastAsia" w:ascii="Times New Roman" w:hAnsi="Times New Roman" w:cs="Times New Roman"/>
          <w:szCs w:val="32"/>
        </w:rPr>
        <w:t>企业加速成长</w:t>
      </w:r>
      <w:r>
        <w:rPr>
          <w:rFonts w:hint="eastAsia" w:ascii="Times New Roman" w:hAnsi="Times New Roman" w:cs="Times New Roman"/>
          <w:szCs w:val="32"/>
          <w:lang w:eastAsia="zh-CN"/>
        </w:rPr>
        <w:t>、源头创新的</w:t>
      </w:r>
      <w:r>
        <w:rPr>
          <w:rFonts w:hint="eastAsia" w:ascii="Times New Roman" w:hAnsi="Times New Roman" w:cs="Times New Roman"/>
          <w:szCs w:val="32"/>
        </w:rPr>
        <w:t>平台</w:t>
      </w:r>
      <w:r>
        <w:rPr>
          <w:rFonts w:hint="eastAsia" w:ascii="Times New Roman" w:hAnsi="Times New Roman" w:cs="Times New Roman"/>
          <w:szCs w:val="32"/>
          <w:lang w:eastAsia="zh-CN"/>
        </w:rPr>
        <w:t>设施比较</w:t>
      </w:r>
      <w:r>
        <w:rPr>
          <w:rFonts w:hint="eastAsia" w:ascii="Times New Roman" w:hAnsi="Times New Roman" w:cs="Times New Roman"/>
          <w:szCs w:val="32"/>
        </w:rPr>
        <w:t>欠缺，在金融科技半导体</w:t>
      </w:r>
      <w:r>
        <w:rPr>
          <w:rFonts w:ascii="Times New Roman" w:hAnsi="Times New Roman" w:cs="Times New Roman"/>
          <w:szCs w:val="32"/>
        </w:rPr>
        <w:t>核心</w:t>
      </w:r>
      <w:r>
        <w:rPr>
          <w:rFonts w:hint="eastAsia" w:ascii="Times New Roman" w:hAnsi="Times New Roman" w:cs="Times New Roman"/>
          <w:szCs w:val="32"/>
        </w:rPr>
        <w:t>芯片、关键金融级数据库、核心中间件等领域</w:t>
      </w:r>
      <w:r>
        <w:rPr>
          <w:rFonts w:hint="eastAsia" w:ascii="Times New Roman" w:hAnsi="Times New Roman" w:cs="Times New Roman"/>
          <w:szCs w:val="32"/>
          <w:lang w:eastAsia="zh-CN"/>
        </w:rPr>
        <w:t>龙头</w:t>
      </w:r>
      <w:r>
        <w:rPr>
          <w:rFonts w:hint="eastAsia" w:ascii="Times New Roman" w:hAnsi="Times New Roman" w:cs="Times New Roman"/>
          <w:szCs w:val="32"/>
        </w:rPr>
        <w:t>企业</w:t>
      </w:r>
      <w:r>
        <w:rPr>
          <w:rFonts w:hint="eastAsia" w:ascii="Times New Roman" w:hAnsi="Times New Roman" w:cs="Times New Roman"/>
          <w:szCs w:val="32"/>
          <w:lang w:eastAsia="zh-CN"/>
        </w:rPr>
        <w:t>比较</w:t>
      </w:r>
      <w:r>
        <w:rPr>
          <w:rFonts w:hint="eastAsia" w:ascii="Times New Roman" w:hAnsi="Times New Roman" w:cs="Times New Roman"/>
          <w:szCs w:val="32"/>
        </w:rPr>
        <w:t>欠缺，</w:t>
      </w:r>
      <w:r>
        <w:rPr>
          <w:rFonts w:hint="eastAsia" w:ascii="Times New Roman" w:hAnsi="Times New Roman" w:cs="Times New Roman"/>
          <w:szCs w:val="32"/>
          <w:lang w:val="en-US" w:eastAsia="zh-CN"/>
        </w:rPr>
        <w:t>复合型人才培养体系、自主可控软硬件基础设施建设等还需加强。</w:t>
      </w:r>
    </w:p>
    <w:p>
      <w:pPr>
        <w:pStyle w:val="3"/>
        <w:pageBreakBefore w:val="0"/>
        <w:widowControl w:val="0"/>
        <w:kinsoku/>
        <w:wordWrap/>
        <w:overflowPunct/>
        <w:topLinePunct w:val="0"/>
        <w:bidi w:val="0"/>
        <w:adjustRightInd/>
        <w:snapToGrid/>
        <w:spacing w:line="560" w:lineRule="exact"/>
        <w:rPr>
          <w:rFonts w:hint="eastAsia" w:ascii="Times New Roman" w:hAnsi="Times New Roman" w:eastAsia="黑体" w:cs="Times New Roman"/>
          <w:color w:val="auto"/>
          <w:lang w:eastAsia="zh-CN"/>
        </w:rPr>
      </w:pPr>
      <w:bookmarkStart w:id="9" w:name="_Toc131702899"/>
      <w:r>
        <w:rPr>
          <w:rFonts w:hint="default" w:ascii="Times New Roman" w:hAnsi="Times New Roman" w:cs="Times New Roman"/>
          <w:color w:val="auto"/>
        </w:rPr>
        <w:t>二、</w:t>
      </w:r>
      <w:bookmarkEnd w:id="7"/>
      <w:r>
        <w:rPr>
          <w:rFonts w:hint="eastAsia" w:ascii="Times New Roman" w:hAnsi="Times New Roman" w:cs="Times New Roman"/>
          <w:color w:val="auto"/>
          <w:lang w:val="en-US" w:eastAsia="zh-CN"/>
        </w:rPr>
        <w:t>总体思路</w:t>
      </w:r>
      <w:bookmarkEnd w:id="8"/>
      <w:bookmarkEnd w:id="9"/>
    </w:p>
    <w:p>
      <w:pPr>
        <w:pStyle w:val="4"/>
        <w:pageBreakBefore w:val="0"/>
        <w:widowControl w:val="0"/>
        <w:kinsoku/>
        <w:wordWrap/>
        <w:overflowPunct/>
        <w:topLinePunct w:val="0"/>
        <w:bidi w:val="0"/>
        <w:adjustRightInd/>
        <w:snapToGrid/>
        <w:spacing w:line="560" w:lineRule="exact"/>
        <w:ind w:firstLine="643" w:firstLineChars="200"/>
        <w:rPr>
          <w:rFonts w:hint="default" w:ascii="Times New Roman" w:hAnsi="Times New Roman" w:eastAsia="楷体_GB2312" w:cs="Times New Roman"/>
          <w:color w:val="auto"/>
        </w:rPr>
      </w:pPr>
      <w:bookmarkStart w:id="10" w:name="_Toc16086"/>
      <w:bookmarkStart w:id="11" w:name="_Toc20439"/>
      <w:bookmarkStart w:id="12" w:name="_Toc35904891"/>
      <w:r>
        <w:rPr>
          <w:rFonts w:hint="default" w:ascii="Times New Roman" w:hAnsi="Times New Roman" w:eastAsia="楷体_GB2312" w:cs="Times New Roman"/>
          <w:color w:val="auto"/>
        </w:rPr>
        <w:t>（一）指导思想</w:t>
      </w:r>
      <w:bookmarkEnd w:id="10"/>
      <w:bookmarkEnd w:id="11"/>
      <w:bookmarkEnd w:id="12"/>
    </w:p>
    <w:p>
      <w:pPr>
        <w:pageBreakBefore w:val="0"/>
        <w:widowControl w:val="0"/>
        <w:kinsoku/>
        <w:wordWrap/>
        <w:overflowPunct/>
        <w:topLinePunct w:val="0"/>
        <w:autoSpaceDE w:val="0"/>
        <w:autoSpaceDN w:val="0"/>
        <w:bidi w:val="0"/>
        <w:adjustRightInd/>
        <w:snapToGrid/>
        <w:spacing w:line="560" w:lineRule="exact"/>
        <w:ind w:firstLine="640" w:firstLineChars="200"/>
        <w:rPr>
          <w:rFonts w:hint="default"/>
        </w:rPr>
      </w:pPr>
      <w:r>
        <w:rPr>
          <w:rFonts w:hint="default" w:ascii="Times New Roman" w:hAnsi="Times New Roman" w:cs="Times New Roman"/>
          <w:color w:val="auto"/>
          <w:szCs w:val="32"/>
        </w:rPr>
        <w:t>以习近平新时代中国特色社会主义思想为指导，全面贯彻落实党的十九大和十九届历次全会精神</w:t>
      </w:r>
      <w:r>
        <w:rPr>
          <w:rFonts w:hint="eastAsia" w:ascii="Times New Roman" w:hAnsi="Times New Roman" w:cs="Times New Roman"/>
          <w:color w:val="auto"/>
          <w:szCs w:val="32"/>
          <w:lang w:val="en-US" w:eastAsia="zh-CN"/>
        </w:rPr>
        <w:t>和习近平总书记对广东、深圳系列重要讲话重要指示批示精神，</w:t>
      </w:r>
      <w:r>
        <w:rPr>
          <w:rFonts w:hint="default" w:ascii="Times New Roman" w:hAnsi="Times New Roman" w:cs="Times New Roman"/>
          <w:color w:val="auto"/>
          <w:szCs w:val="32"/>
        </w:rPr>
        <w:t>完整、准确、全面贯彻新发展理念，抢抓</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双区</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驱动、</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双区</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叠加、</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双改</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示范等重大战略机遇，</w:t>
      </w:r>
      <w:r>
        <w:rPr>
          <w:rFonts w:hint="default"/>
        </w:rPr>
        <w:t>在依法合规、风险可控的前提下，</w:t>
      </w:r>
      <w:r>
        <w:rPr>
          <w:rFonts w:hint="eastAsia"/>
          <w:lang w:eastAsia="zh-CN"/>
        </w:rPr>
        <w:t>大力推进</w:t>
      </w:r>
      <w:r>
        <w:rPr>
          <w:rFonts w:hint="default"/>
        </w:rPr>
        <w:t>金融科技</w:t>
      </w:r>
      <w:r>
        <w:rPr>
          <w:rFonts w:hint="eastAsia"/>
          <w:lang w:eastAsia="zh-CN"/>
        </w:rPr>
        <w:t>机构、</w:t>
      </w:r>
      <w:r>
        <w:rPr>
          <w:rFonts w:hint="default"/>
        </w:rPr>
        <w:t>技术、应用、产业、人才、标准</w:t>
      </w:r>
      <w:r>
        <w:rPr>
          <w:rFonts w:hint="eastAsia"/>
          <w:lang w:eastAsia="zh-CN"/>
        </w:rPr>
        <w:t>建设</w:t>
      </w:r>
      <w:r>
        <w:rPr>
          <w:rFonts w:hint="default"/>
        </w:rPr>
        <w:t>，打造国际一流金融科技创新生态圈，</w:t>
      </w:r>
      <w:r>
        <w:rPr>
          <w:rFonts w:hint="default" w:ascii="Times New Roman" w:hAnsi="Times New Roman" w:cs="Times New Roman"/>
          <w:color w:val="auto"/>
          <w:szCs w:val="32"/>
        </w:rPr>
        <w:t>以金融科技</w:t>
      </w:r>
      <w:r>
        <w:rPr>
          <w:rFonts w:hint="eastAsia" w:ascii="Times New Roman" w:hAnsi="Times New Roman" w:cs="Times New Roman"/>
          <w:color w:val="auto"/>
          <w:szCs w:val="32"/>
          <w:lang w:eastAsia="zh-CN"/>
        </w:rPr>
        <w:t>赋能</w:t>
      </w:r>
      <w:r>
        <w:rPr>
          <w:rFonts w:hint="default" w:ascii="Times New Roman" w:hAnsi="Times New Roman" w:cs="Times New Roman"/>
          <w:color w:val="auto"/>
          <w:szCs w:val="32"/>
        </w:rPr>
        <w:t>实体经济、服务</w:t>
      </w:r>
      <w:r>
        <w:rPr>
          <w:rFonts w:hint="eastAsia" w:ascii="Times New Roman" w:hAnsi="Times New Roman" w:cs="Times New Roman"/>
          <w:color w:val="auto"/>
          <w:szCs w:val="32"/>
          <w:lang w:eastAsia="zh-CN"/>
        </w:rPr>
        <w:t>金融</w:t>
      </w:r>
      <w:r>
        <w:rPr>
          <w:rFonts w:hint="default" w:ascii="Times New Roman" w:hAnsi="Times New Roman" w:cs="Times New Roman"/>
          <w:color w:val="auto"/>
          <w:szCs w:val="32"/>
        </w:rPr>
        <w:t>风险防控、</w:t>
      </w:r>
      <w:r>
        <w:rPr>
          <w:rFonts w:hint="eastAsia" w:ascii="Times New Roman" w:hAnsi="Times New Roman" w:cs="Times New Roman"/>
          <w:color w:val="auto"/>
          <w:szCs w:val="32"/>
          <w:lang w:eastAsia="zh-CN"/>
        </w:rPr>
        <w:t>助力</w:t>
      </w:r>
      <w:r>
        <w:rPr>
          <w:rFonts w:hint="default" w:ascii="Times New Roman" w:hAnsi="Times New Roman" w:cs="Times New Roman"/>
          <w:color w:val="auto"/>
          <w:szCs w:val="32"/>
        </w:rPr>
        <w:t>金融改革开放，促进粤港澳大湾区金融科技融合发展，加快完善金融科技</w:t>
      </w:r>
      <w:r>
        <w:rPr>
          <w:rFonts w:hint="eastAsia" w:ascii="Times New Roman" w:hAnsi="Times New Roman" w:cs="Times New Roman"/>
          <w:color w:val="auto"/>
          <w:szCs w:val="32"/>
          <w:lang w:eastAsia="zh-CN"/>
        </w:rPr>
        <w:t>“技术研发</w:t>
      </w:r>
      <w:r>
        <w:rPr>
          <w:rFonts w:hint="default" w:ascii="Times New Roman" w:hAnsi="Times New Roman" w:cs="Times New Roman"/>
          <w:color w:val="auto"/>
          <w:szCs w:val="32"/>
        </w:rPr>
        <w:t>+</w:t>
      </w:r>
      <w:r>
        <w:rPr>
          <w:rFonts w:hint="eastAsia" w:ascii="Times New Roman" w:hAnsi="Times New Roman" w:cs="Times New Roman"/>
          <w:color w:val="auto"/>
          <w:szCs w:val="32"/>
          <w:lang w:eastAsia="zh-CN"/>
        </w:rPr>
        <w:t>场景应用</w:t>
      </w:r>
      <w:r>
        <w:rPr>
          <w:rFonts w:hint="default" w:ascii="Times New Roman" w:hAnsi="Times New Roman" w:cs="Times New Roman"/>
          <w:color w:val="auto"/>
          <w:szCs w:val="32"/>
        </w:rPr>
        <w:t>+成果</w:t>
      </w:r>
      <w:r>
        <w:rPr>
          <w:rFonts w:hint="eastAsia" w:ascii="Times New Roman" w:hAnsi="Times New Roman" w:cs="Times New Roman"/>
          <w:color w:val="auto"/>
          <w:szCs w:val="32"/>
          <w:lang w:eastAsia="zh-CN"/>
        </w:rPr>
        <w:t>转化</w:t>
      </w:r>
      <w:r>
        <w:rPr>
          <w:rFonts w:hint="default" w:ascii="Times New Roman" w:hAnsi="Times New Roman" w:cs="Times New Roman"/>
          <w:color w:val="auto"/>
          <w:szCs w:val="32"/>
        </w:rPr>
        <w:t>+人才支撑</w:t>
      </w:r>
      <w:r>
        <w:rPr>
          <w:rFonts w:hint="eastAsia" w:ascii="Times New Roman" w:hAnsi="Times New Roman" w:cs="Times New Roman"/>
          <w:color w:val="auto"/>
          <w:szCs w:val="32"/>
          <w:lang w:val="en-US" w:eastAsia="zh-CN"/>
        </w:rPr>
        <w:t>+标准建设</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全过程</w:t>
      </w:r>
      <w:r>
        <w:rPr>
          <w:rFonts w:hint="eastAsia" w:ascii="Times New Roman" w:hAnsi="Times New Roman" w:cs="Times New Roman"/>
          <w:color w:val="auto"/>
          <w:szCs w:val="32"/>
          <w:lang w:eastAsia="zh-CN"/>
        </w:rPr>
        <w:t>产业</w:t>
      </w:r>
      <w:r>
        <w:rPr>
          <w:rFonts w:hint="default" w:ascii="Times New Roman" w:hAnsi="Times New Roman" w:cs="Times New Roman"/>
          <w:color w:val="auto"/>
          <w:szCs w:val="32"/>
        </w:rPr>
        <w:t>链，</w:t>
      </w:r>
      <w:r>
        <w:rPr>
          <w:rFonts w:hint="eastAsia" w:ascii="Times New Roman" w:hAnsi="Times New Roman" w:cs="Times New Roman"/>
          <w:color w:val="auto"/>
          <w:szCs w:val="32"/>
          <w:lang w:eastAsia="zh-CN"/>
        </w:rPr>
        <w:t>打造促进经济</w:t>
      </w:r>
      <w:r>
        <w:rPr>
          <w:rFonts w:hint="default"/>
        </w:rPr>
        <w:t>金融</w:t>
      </w:r>
      <w:r>
        <w:rPr>
          <w:rFonts w:hint="eastAsia"/>
          <w:lang w:eastAsia="zh-CN"/>
        </w:rPr>
        <w:t>良性循环、推动</w:t>
      </w:r>
      <w:r>
        <w:rPr>
          <w:rFonts w:hint="default"/>
        </w:rPr>
        <w:t>高质量发展的“新引擎”。</w:t>
      </w:r>
    </w:p>
    <w:p>
      <w:pPr>
        <w:pStyle w:val="4"/>
        <w:pageBreakBefore w:val="0"/>
        <w:widowControl w:val="0"/>
        <w:kinsoku/>
        <w:wordWrap/>
        <w:overflowPunct/>
        <w:topLinePunct w:val="0"/>
        <w:bidi w:val="0"/>
        <w:adjustRightInd/>
        <w:snapToGrid/>
        <w:spacing w:line="560" w:lineRule="exact"/>
        <w:ind w:firstLine="643" w:firstLineChars="200"/>
        <w:rPr>
          <w:rFonts w:hint="default" w:ascii="Times New Roman" w:hAnsi="Times New Roman" w:eastAsia="楷体_GB2312" w:cs="Times New Roman"/>
          <w:color w:val="auto"/>
        </w:rPr>
      </w:pPr>
      <w:bookmarkStart w:id="13" w:name="_Toc30561"/>
      <w:bookmarkStart w:id="14" w:name="_Toc563"/>
      <w:bookmarkStart w:id="15" w:name="_Toc2047430807"/>
      <w:r>
        <w:rPr>
          <w:rFonts w:hint="default" w:ascii="Times New Roman" w:hAnsi="Times New Roman" w:eastAsia="楷体_GB2312" w:cs="Times New Roman"/>
          <w:color w:val="auto"/>
        </w:rPr>
        <w:t>（二）基本原则</w:t>
      </w:r>
      <w:bookmarkEnd w:id="13"/>
      <w:bookmarkEnd w:id="14"/>
      <w:bookmarkEnd w:id="15"/>
    </w:p>
    <w:p>
      <w:pPr>
        <w:pageBreakBefore w:val="0"/>
        <w:widowControl w:val="0"/>
        <w:kinsoku/>
        <w:wordWrap/>
        <w:overflowPunct/>
        <w:topLinePunct w:val="0"/>
        <w:bidi w:val="0"/>
        <w:adjustRightInd/>
        <w:snapToGrid/>
        <w:spacing w:line="560" w:lineRule="exact"/>
        <w:ind w:firstLine="643" w:firstLineChars="200"/>
        <w:rPr>
          <w:rFonts w:hint="default" w:ascii="Times New Roman" w:hAnsi="Times New Roman" w:cs="Times New Roman"/>
          <w:color w:val="auto"/>
          <w:szCs w:val="32"/>
        </w:rPr>
      </w:pPr>
      <w:r>
        <w:rPr>
          <w:rFonts w:hint="eastAsia" w:cs="仿宋_GB2312"/>
          <w:b/>
          <w:bCs/>
          <w:color w:val="auto"/>
          <w:szCs w:val="32"/>
          <w:lang w:val="en-US" w:eastAsia="zh-CN"/>
        </w:rPr>
        <w:t>——</w:t>
      </w:r>
      <w:r>
        <w:rPr>
          <w:rFonts w:hint="eastAsia" w:ascii="仿宋_GB2312" w:hAnsi="仿宋_GB2312" w:cs="仿宋_GB2312"/>
          <w:b/>
          <w:bCs/>
          <w:color w:val="auto"/>
          <w:szCs w:val="32"/>
        </w:rPr>
        <w:t>坚持市场主导与政府引导相结合</w:t>
      </w:r>
      <w:r>
        <w:rPr>
          <w:rFonts w:hint="eastAsia" w:ascii="仿宋_GB2312" w:hAnsi="仿宋_GB2312" w:cs="仿宋_GB2312"/>
          <w:b/>
          <w:bCs/>
          <w:color w:val="auto"/>
          <w:szCs w:val="32"/>
          <w:lang w:eastAsia="zh-CN"/>
        </w:rPr>
        <w:t>。</w:t>
      </w:r>
      <w:r>
        <w:rPr>
          <w:rFonts w:hint="default" w:ascii="Times New Roman" w:hAnsi="Times New Roman" w:cs="Times New Roman"/>
          <w:color w:val="auto"/>
          <w:szCs w:val="32"/>
        </w:rPr>
        <w:t>充分发挥市场在金融科技发展中的基础性作用，激发</w:t>
      </w:r>
      <w:r>
        <w:rPr>
          <w:rFonts w:hint="eastAsia" w:ascii="Times New Roman" w:hAnsi="Times New Roman" w:cs="Times New Roman"/>
          <w:color w:val="auto"/>
          <w:szCs w:val="32"/>
          <w:lang w:eastAsia="zh-CN"/>
        </w:rPr>
        <w:t>各类</w:t>
      </w:r>
      <w:r>
        <w:rPr>
          <w:rFonts w:hint="default" w:ascii="Times New Roman" w:hAnsi="Times New Roman" w:cs="Times New Roman"/>
          <w:color w:val="auto"/>
          <w:szCs w:val="32"/>
        </w:rPr>
        <w:t>市场主体</w:t>
      </w:r>
      <w:r>
        <w:rPr>
          <w:rFonts w:hint="eastAsia" w:ascii="Times New Roman" w:hAnsi="Times New Roman" w:cs="Times New Roman"/>
          <w:color w:val="auto"/>
          <w:szCs w:val="32"/>
          <w:lang w:eastAsia="zh-CN"/>
        </w:rPr>
        <w:t>活力</w:t>
      </w:r>
      <w:r>
        <w:rPr>
          <w:rFonts w:hint="default" w:ascii="Times New Roman" w:hAnsi="Times New Roman" w:cs="Times New Roman"/>
          <w:color w:val="auto"/>
          <w:szCs w:val="32"/>
        </w:rPr>
        <w:t>，</w:t>
      </w:r>
      <w:r>
        <w:rPr>
          <w:rFonts w:hint="eastAsia" w:ascii="Times New Roman" w:hAnsi="Times New Roman" w:cs="Times New Roman"/>
          <w:color w:val="auto"/>
          <w:szCs w:val="32"/>
          <w:lang w:eastAsia="zh-CN"/>
        </w:rPr>
        <w:t>科学厘清</w:t>
      </w:r>
      <w:r>
        <w:rPr>
          <w:rFonts w:hint="default" w:ascii="Times New Roman" w:hAnsi="Times New Roman" w:cs="Times New Roman"/>
          <w:color w:val="auto"/>
          <w:szCs w:val="32"/>
        </w:rPr>
        <w:t>政府与市场</w:t>
      </w:r>
      <w:r>
        <w:rPr>
          <w:rFonts w:hint="eastAsia" w:ascii="Times New Roman" w:hAnsi="Times New Roman" w:cs="Times New Roman"/>
          <w:color w:val="auto"/>
          <w:szCs w:val="32"/>
          <w:lang w:eastAsia="zh-CN"/>
        </w:rPr>
        <w:t>的</w:t>
      </w:r>
      <w:r>
        <w:rPr>
          <w:rFonts w:hint="default" w:ascii="Times New Roman" w:hAnsi="Times New Roman" w:cs="Times New Roman"/>
          <w:color w:val="auto"/>
          <w:szCs w:val="32"/>
        </w:rPr>
        <w:t>边界，</w:t>
      </w:r>
      <w:r>
        <w:rPr>
          <w:rFonts w:hint="eastAsia" w:ascii="Times New Roman" w:hAnsi="Times New Roman" w:cs="Times New Roman"/>
          <w:color w:val="auto"/>
          <w:szCs w:val="32"/>
          <w:lang w:eastAsia="zh-CN"/>
        </w:rPr>
        <w:t>把市场主导资源配置与</w:t>
      </w:r>
      <w:r>
        <w:rPr>
          <w:rFonts w:hint="default" w:ascii="Times New Roman" w:hAnsi="Times New Roman" w:cs="Times New Roman"/>
          <w:color w:val="auto"/>
          <w:szCs w:val="32"/>
        </w:rPr>
        <w:t>政府</w:t>
      </w:r>
      <w:r>
        <w:rPr>
          <w:rFonts w:hint="eastAsia" w:ascii="Times New Roman" w:hAnsi="Times New Roman" w:cs="Times New Roman"/>
          <w:color w:val="auto"/>
          <w:szCs w:val="32"/>
          <w:lang w:eastAsia="zh-CN"/>
        </w:rPr>
        <w:t>引导</w:t>
      </w:r>
      <w:r>
        <w:rPr>
          <w:rFonts w:hint="default" w:ascii="Times New Roman" w:hAnsi="Times New Roman" w:cs="Times New Roman"/>
          <w:color w:val="auto"/>
          <w:szCs w:val="32"/>
        </w:rPr>
        <w:t>监督</w:t>
      </w:r>
      <w:r>
        <w:rPr>
          <w:rFonts w:hint="eastAsia" w:ascii="Times New Roman" w:hAnsi="Times New Roman" w:cs="Times New Roman"/>
          <w:color w:val="auto"/>
          <w:szCs w:val="32"/>
          <w:lang w:eastAsia="zh-CN"/>
        </w:rPr>
        <w:t>相结合，共同</w:t>
      </w:r>
      <w:r>
        <w:rPr>
          <w:rFonts w:hint="default" w:ascii="Times New Roman" w:hAnsi="Times New Roman" w:cs="Times New Roman"/>
          <w:color w:val="auto"/>
          <w:szCs w:val="32"/>
        </w:rPr>
        <w:t>塑造良好生态，</w:t>
      </w:r>
      <w:r>
        <w:rPr>
          <w:rFonts w:hint="eastAsia" w:ascii="Times New Roman" w:hAnsi="Times New Roman" w:cs="Times New Roman"/>
          <w:color w:val="auto"/>
          <w:szCs w:val="32"/>
          <w:lang w:eastAsia="zh-CN"/>
        </w:rPr>
        <w:t>构建</w:t>
      </w:r>
      <w:r>
        <w:rPr>
          <w:rFonts w:hint="default" w:ascii="Times New Roman" w:hAnsi="Times New Roman" w:cs="Times New Roman"/>
          <w:color w:val="auto"/>
          <w:szCs w:val="32"/>
        </w:rPr>
        <w:t>金融科技</w:t>
      </w:r>
      <w:r>
        <w:rPr>
          <w:rFonts w:hint="eastAsia" w:ascii="Times New Roman" w:hAnsi="Times New Roman" w:cs="Times New Roman"/>
          <w:color w:val="auto"/>
          <w:szCs w:val="32"/>
          <w:lang w:eastAsia="zh-CN"/>
        </w:rPr>
        <w:t>良性竞争</w:t>
      </w:r>
      <w:r>
        <w:rPr>
          <w:rFonts w:hint="default" w:ascii="Times New Roman" w:hAnsi="Times New Roman" w:cs="Times New Roman"/>
          <w:color w:val="auto"/>
          <w:szCs w:val="32"/>
        </w:rPr>
        <w:t>发展格局。</w:t>
      </w:r>
    </w:p>
    <w:p>
      <w:pPr>
        <w:pageBreakBefore w:val="0"/>
        <w:widowControl w:val="0"/>
        <w:kinsoku/>
        <w:wordWrap/>
        <w:overflowPunct/>
        <w:topLinePunct w:val="0"/>
        <w:bidi w:val="0"/>
        <w:adjustRightInd/>
        <w:snapToGrid/>
        <w:spacing w:line="560" w:lineRule="exact"/>
        <w:ind w:firstLine="643" w:firstLineChars="200"/>
        <w:rPr>
          <w:rFonts w:hint="default" w:ascii="Times New Roman" w:hAnsi="Times New Roman" w:cs="Times New Roman"/>
          <w:color w:val="auto"/>
          <w:szCs w:val="32"/>
        </w:rPr>
      </w:pPr>
      <w:r>
        <w:rPr>
          <w:rFonts w:hint="eastAsia" w:cs="仿宋_GB2312"/>
          <w:b/>
          <w:bCs/>
          <w:color w:val="auto"/>
          <w:szCs w:val="32"/>
          <w:lang w:val="en-US" w:eastAsia="zh-CN"/>
        </w:rPr>
        <w:t>——</w:t>
      </w:r>
      <w:r>
        <w:rPr>
          <w:rFonts w:hint="eastAsia" w:ascii="仿宋_GB2312" w:hAnsi="仿宋_GB2312" w:cs="仿宋_GB2312"/>
          <w:b/>
          <w:bCs/>
          <w:color w:val="auto"/>
          <w:szCs w:val="32"/>
        </w:rPr>
        <w:t>坚持金融发展与科技进步相协调</w:t>
      </w:r>
      <w:r>
        <w:rPr>
          <w:rFonts w:hint="eastAsia" w:ascii="仿宋_GB2312" w:hAnsi="仿宋_GB2312" w:cs="仿宋_GB2312"/>
          <w:b/>
          <w:bCs/>
          <w:color w:val="auto"/>
          <w:szCs w:val="32"/>
          <w:lang w:eastAsia="zh-CN"/>
        </w:rPr>
        <w:t>。</w:t>
      </w:r>
      <w:r>
        <w:rPr>
          <w:rFonts w:hint="default" w:ascii="Times New Roman" w:hAnsi="Times New Roman" w:cs="Times New Roman"/>
          <w:color w:val="auto"/>
          <w:szCs w:val="32"/>
        </w:rPr>
        <w:t>鼓励人工智能、大数据、云计算、区块链等领域技术创新，鼓励芯片、算法等基础研发攻关，</w:t>
      </w:r>
      <w:r>
        <w:rPr>
          <w:rFonts w:hint="eastAsia" w:ascii="Times New Roman" w:hAnsi="Times New Roman" w:cs="Times New Roman"/>
          <w:color w:val="auto"/>
          <w:szCs w:val="32"/>
          <w:lang w:eastAsia="zh-CN"/>
        </w:rPr>
        <w:t>支持更多先进的</w:t>
      </w:r>
      <w:r>
        <w:rPr>
          <w:rFonts w:hint="default" w:ascii="Times New Roman" w:hAnsi="Times New Roman" w:cs="Times New Roman"/>
          <w:color w:val="auto"/>
          <w:szCs w:val="32"/>
        </w:rPr>
        <w:t>科技创新成果应用于金融领域，加快形成科技赋能金融、金融服务科技的协同模式。</w:t>
      </w:r>
    </w:p>
    <w:p>
      <w:pPr>
        <w:pageBreakBefore w:val="0"/>
        <w:widowControl w:val="0"/>
        <w:kinsoku/>
        <w:wordWrap/>
        <w:overflowPunct/>
        <w:topLinePunct w:val="0"/>
        <w:bidi w:val="0"/>
        <w:adjustRightInd/>
        <w:snapToGrid/>
        <w:spacing w:line="560" w:lineRule="exact"/>
        <w:ind w:firstLine="643" w:firstLineChars="200"/>
        <w:rPr>
          <w:rFonts w:hint="default" w:ascii="Times New Roman" w:hAnsi="Times New Roman" w:cs="Times New Roman"/>
          <w:color w:val="auto"/>
          <w:szCs w:val="32"/>
        </w:rPr>
      </w:pPr>
      <w:r>
        <w:rPr>
          <w:rFonts w:hint="eastAsia" w:cs="仿宋_GB2312"/>
          <w:b/>
          <w:bCs/>
          <w:color w:val="auto"/>
          <w:szCs w:val="32"/>
          <w:lang w:val="en-US" w:eastAsia="zh-CN"/>
        </w:rPr>
        <w:t>——</w:t>
      </w:r>
      <w:r>
        <w:rPr>
          <w:rFonts w:hint="eastAsia" w:ascii="仿宋_GB2312" w:hAnsi="仿宋_GB2312" w:cs="仿宋_GB2312"/>
          <w:b/>
          <w:bCs/>
          <w:color w:val="auto"/>
          <w:szCs w:val="32"/>
        </w:rPr>
        <w:t>坚持生态建设与普惠开放相促进</w:t>
      </w:r>
      <w:r>
        <w:rPr>
          <w:rFonts w:hint="eastAsia" w:ascii="仿宋_GB2312" w:hAnsi="仿宋_GB2312" w:cs="仿宋_GB2312"/>
          <w:b/>
          <w:bCs/>
          <w:color w:val="auto"/>
          <w:szCs w:val="32"/>
          <w:lang w:eastAsia="zh-CN"/>
        </w:rPr>
        <w:t>。</w:t>
      </w:r>
      <w:r>
        <w:rPr>
          <w:rFonts w:hint="default" w:ascii="Times New Roman" w:hAnsi="Times New Roman" w:cs="Times New Roman"/>
          <w:color w:val="auto"/>
          <w:szCs w:val="32"/>
        </w:rPr>
        <w:t>加强金融科技产业生态、创新生态</w:t>
      </w:r>
      <w:r>
        <w:rPr>
          <w:rFonts w:hint="eastAsia" w:ascii="Times New Roman" w:hAnsi="Times New Roman" w:cs="Times New Roman"/>
          <w:color w:val="auto"/>
          <w:szCs w:val="32"/>
          <w:lang w:eastAsia="zh-CN"/>
        </w:rPr>
        <w:t>、开源生态</w:t>
      </w:r>
      <w:r>
        <w:rPr>
          <w:rFonts w:hint="default" w:ascii="Times New Roman" w:hAnsi="Times New Roman" w:cs="Times New Roman"/>
          <w:color w:val="auto"/>
          <w:szCs w:val="32"/>
        </w:rPr>
        <w:t>建设，</w:t>
      </w:r>
      <w:r>
        <w:rPr>
          <w:rFonts w:hint="eastAsia" w:ascii="Times New Roman" w:hAnsi="Times New Roman" w:cs="Times New Roman"/>
          <w:color w:val="auto"/>
          <w:szCs w:val="32"/>
          <w:lang w:eastAsia="zh-CN"/>
        </w:rPr>
        <w:t>巩固竞争优势，</w:t>
      </w:r>
      <w:r>
        <w:rPr>
          <w:rFonts w:hint="default" w:ascii="Times New Roman" w:hAnsi="Times New Roman" w:cs="Times New Roman"/>
          <w:color w:val="auto"/>
          <w:szCs w:val="32"/>
        </w:rPr>
        <w:t>补足发展短板，着力解决</w:t>
      </w:r>
      <w:r>
        <w:rPr>
          <w:rFonts w:hint="eastAsia" w:ascii="Times New Roman" w:hAnsi="Times New Roman" w:cs="Times New Roman"/>
          <w:color w:val="auto"/>
          <w:szCs w:val="32"/>
          <w:lang w:eastAsia="zh-CN"/>
        </w:rPr>
        <w:t>行业发展面临的</w:t>
      </w:r>
      <w:r>
        <w:rPr>
          <w:rFonts w:hint="default" w:ascii="Times New Roman" w:hAnsi="Times New Roman" w:cs="Times New Roman"/>
          <w:color w:val="auto"/>
          <w:szCs w:val="32"/>
        </w:rPr>
        <w:t>共性问题。支持金融科技向民生普惠领域发力，鼓励为共同富裕</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乡村振兴</w:t>
      </w:r>
      <w:r>
        <w:rPr>
          <w:rFonts w:hint="eastAsia" w:ascii="Times New Roman" w:hAnsi="Times New Roman" w:cs="Times New Roman"/>
          <w:color w:val="auto"/>
          <w:szCs w:val="32"/>
          <w:lang w:eastAsia="zh-CN"/>
        </w:rPr>
        <w:t>等</w:t>
      </w:r>
      <w:r>
        <w:rPr>
          <w:rFonts w:hint="default" w:ascii="Times New Roman" w:hAnsi="Times New Roman" w:cs="Times New Roman"/>
          <w:color w:val="auto"/>
          <w:szCs w:val="32"/>
        </w:rPr>
        <w:t>提供解决方案</w:t>
      </w:r>
      <w:r>
        <w:rPr>
          <w:rFonts w:hint="eastAsia" w:ascii="Times New Roman" w:hAnsi="Times New Roman" w:cs="Times New Roman"/>
          <w:color w:val="auto"/>
          <w:szCs w:val="32"/>
          <w:lang w:eastAsia="zh-CN"/>
        </w:rPr>
        <w:t>。推动</w:t>
      </w:r>
      <w:r>
        <w:rPr>
          <w:rFonts w:hint="default" w:ascii="Times New Roman" w:hAnsi="Times New Roman" w:cs="Times New Roman"/>
          <w:color w:val="auto"/>
          <w:szCs w:val="32"/>
        </w:rPr>
        <w:t>金融科技</w:t>
      </w:r>
      <w:r>
        <w:rPr>
          <w:rFonts w:hint="eastAsia" w:ascii="Times New Roman" w:hAnsi="Times New Roman" w:cs="Times New Roman"/>
          <w:color w:val="auto"/>
          <w:szCs w:val="32"/>
          <w:lang w:eastAsia="zh-CN"/>
        </w:rPr>
        <w:t>有序</w:t>
      </w:r>
      <w:r>
        <w:rPr>
          <w:rFonts w:hint="default" w:ascii="Times New Roman" w:hAnsi="Times New Roman" w:cs="Times New Roman"/>
          <w:color w:val="auto"/>
          <w:szCs w:val="32"/>
        </w:rPr>
        <w:t>扩大开放，支持符合条件的</w:t>
      </w:r>
      <w:r>
        <w:rPr>
          <w:rFonts w:hint="eastAsia" w:ascii="Times New Roman" w:hAnsi="Times New Roman" w:cs="Times New Roman"/>
          <w:color w:val="auto"/>
          <w:szCs w:val="32"/>
          <w:lang w:eastAsia="zh-CN"/>
        </w:rPr>
        <w:t>金融科技类企业“</w:t>
      </w:r>
      <w:r>
        <w:rPr>
          <w:rFonts w:hint="default" w:ascii="Times New Roman" w:hAnsi="Times New Roman" w:cs="Times New Roman"/>
          <w:color w:val="auto"/>
          <w:szCs w:val="32"/>
        </w:rPr>
        <w:t>走出去</w:t>
      </w:r>
      <w:r>
        <w:rPr>
          <w:rFonts w:hint="eastAsia" w:ascii="Times New Roman" w:hAnsi="Times New Roman" w:cs="Times New Roman"/>
          <w:color w:val="auto"/>
          <w:szCs w:val="32"/>
          <w:lang w:eastAsia="zh-CN"/>
        </w:rPr>
        <w:t>”，促进</w:t>
      </w:r>
      <w:r>
        <w:rPr>
          <w:rFonts w:hint="default" w:ascii="Times New Roman" w:hAnsi="Times New Roman" w:cs="Times New Roman"/>
          <w:color w:val="auto"/>
          <w:szCs w:val="32"/>
        </w:rPr>
        <w:t>境内外</w:t>
      </w:r>
      <w:r>
        <w:rPr>
          <w:rFonts w:hint="eastAsia" w:ascii="Times New Roman" w:hAnsi="Times New Roman" w:cs="Times New Roman"/>
          <w:color w:val="auto"/>
          <w:szCs w:val="32"/>
          <w:lang w:eastAsia="zh-CN"/>
        </w:rPr>
        <w:t>金融科技类企业</w:t>
      </w:r>
      <w:r>
        <w:rPr>
          <w:rFonts w:hint="default" w:ascii="Times New Roman" w:hAnsi="Times New Roman" w:cs="Times New Roman"/>
          <w:color w:val="auto"/>
          <w:szCs w:val="32"/>
        </w:rPr>
        <w:t>与人才双向流动。</w:t>
      </w:r>
    </w:p>
    <w:p>
      <w:pPr>
        <w:pageBreakBefore w:val="0"/>
        <w:widowControl w:val="0"/>
        <w:kinsoku/>
        <w:wordWrap/>
        <w:overflowPunct/>
        <w:topLinePunct w:val="0"/>
        <w:bidi w:val="0"/>
        <w:adjustRightInd/>
        <w:snapToGrid/>
        <w:spacing w:line="560" w:lineRule="exact"/>
        <w:ind w:firstLine="643" w:firstLineChars="200"/>
        <w:rPr>
          <w:rFonts w:hint="default" w:ascii="Times New Roman" w:hAnsi="Times New Roman" w:cs="Times New Roman"/>
          <w:color w:val="auto"/>
          <w:szCs w:val="32"/>
        </w:rPr>
      </w:pPr>
      <w:r>
        <w:rPr>
          <w:rFonts w:hint="eastAsia" w:cs="仿宋_GB2312"/>
          <w:b/>
          <w:bCs/>
          <w:color w:val="auto"/>
          <w:szCs w:val="32"/>
          <w:lang w:val="en-US" w:eastAsia="zh-CN"/>
        </w:rPr>
        <w:t>——</w:t>
      </w:r>
      <w:r>
        <w:rPr>
          <w:rFonts w:hint="eastAsia" w:ascii="仿宋_GB2312" w:hAnsi="仿宋_GB2312" w:cs="仿宋_GB2312"/>
          <w:b/>
          <w:bCs/>
          <w:color w:val="auto"/>
          <w:szCs w:val="32"/>
        </w:rPr>
        <w:t>坚持守正创新与防范风险相兼顾</w:t>
      </w:r>
      <w:r>
        <w:rPr>
          <w:rFonts w:hint="eastAsia" w:ascii="仿宋_GB2312" w:hAnsi="仿宋_GB2312" w:cs="仿宋_GB2312"/>
          <w:b/>
          <w:bCs/>
          <w:color w:val="auto"/>
          <w:szCs w:val="32"/>
          <w:lang w:eastAsia="zh-CN"/>
        </w:rPr>
        <w:t>。</w:t>
      </w:r>
      <w:r>
        <w:rPr>
          <w:rFonts w:hint="default" w:ascii="Times New Roman" w:hAnsi="Times New Roman" w:cs="Times New Roman"/>
          <w:color w:val="auto"/>
          <w:szCs w:val="32"/>
        </w:rPr>
        <w:t>完善</w:t>
      </w:r>
      <w:r>
        <w:rPr>
          <w:rFonts w:hint="eastAsia" w:ascii="Times New Roman" w:hAnsi="Times New Roman" w:cs="Times New Roman"/>
          <w:color w:val="auto"/>
          <w:szCs w:val="32"/>
          <w:lang w:eastAsia="zh-CN"/>
        </w:rPr>
        <w:t>与</w:t>
      </w:r>
      <w:r>
        <w:rPr>
          <w:rFonts w:hint="default" w:ascii="Times New Roman" w:hAnsi="Times New Roman" w:cs="Times New Roman"/>
          <w:color w:val="auto"/>
          <w:szCs w:val="32"/>
        </w:rPr>
        <w:t>金融科技创新</w:t>
      </w:r>
      <w:r>
        <w:rPr>
          <w:rFonts w:hint="eastAsia" w:ascii="Times New Roman" w:hAnsi="Times New Roman" w:cs="Times New Roman"/>
          <w:color w:val="auto"/>
          <w:szCs w:val="32"/>
          <w:lang w:eastAsia="zh-CN"/>
        </w:rPr>
        <w:t>相配套的</w:t>
      </w:r>
      <w:r>
        <w:rPr>
          <w:rFonts w:hint="default" w:ascii="Times New Roman" w:hAnsi="Times New Roman" w:cs="Times New Roman"/>
          <w:color w:val="auto"/>
          <w:szCs w:val="32"/>
        </w:rPr>
        <w:t>制度体系，时刻把握金融科技合规要求与安全边界，</w:t>
      </w:r>
      <w:r>
        <w:rPr>
          <w:rFonts w:hint="eastAsia" w:ascii="Times New Roman" w:hAnsi="Times New Roman" w:cs="Times New Roman"/>
          <w:color w:val="auto"/>
          <w:szCs w:val="32"/>
          <w:lang w:eastAsia="zh-CN"/>
        </w:rPr>
        <w:t>支持</w:t>
      </w:r>
      <w:r>
        <w:rPr>
          <w:rFonts w:hint="default" w:ascii="Times New Roman" w:hAnsi="Times New Roman" w:cs="Times New Roman"/>
          <w:color w:val="auto"/>
          <w:szCs w:val="32"/>
        </w:rPr>
        <w:t>金融科技</w:t>
      </w:r>
      <w:r>
        <w:rPr>
          <w:rFonts w:hint="eastAsia" w:ascii="Times New Roman" w:hAnsi="Times New Roman" w:cs="Times New Roman"/>
          <w:color w:val="auto"/>
          <w:szCs w:val="32"/>
          <w:lang w:eastAsia="zh-CN"/>
        </w:rPr>
        <w:t>守正创新、</w:t>
      </w:r>
      <w:r>
        <w:rPr>
          <w:rFonts w:hint="default" w:ascii="Times New Roman" w:hAnsi="Times New Roman" w:cs="Times New Roman"/>
          <w:color w:val="auto"/>
          <w:szCs w:val="32"/>
        </w:rPr>
        <w:t>有序迭代</w:t>
      </w:r>
      <w:r>
        <w:rPr>
          <w:rFonts w:hint="eastAsia" w:ascii="Times New Roman" w:hAnsi="Times New Roman" w:cs="Times New Roman"/>
          <w:color w:val="auto"/>
          <w:szCs w:val="32"/>
          <w:lang w:eastAsia="zh-CN"/>
        </w:rPr>
        <w:t>。深化金融科技</w:t>
      </w:r>
      <w:r>
        <w:rPr>
          <w:rFonts w:hint="default" w:ascii="Times New Roman" w:hAnsi="Times New Roman" w:cs="Times New Roman"/>
          <w:color w:val="auto"/>
          <w:szCs w:val="32"/>
        </w:rPr>
        <w:t>创新监管试点，</w:t>
      </w:r>
      <w:r>
        <w:rPr>
          <w:rFonts w:hint="eastAsia" w:ascii="Times New Roman" w:hAnsi="Times New Roman" w:cs="Times New Roman"/>
          <w:color w:val="auto"/>
          <w:szCs w:val="32"/>
          <w:lang w:eastAsia="zh-CN"/>
        </w:rPr>
        <w:t>建立健全伦理体系、</w:t>
      </w:r>
      <w:r>
        <w:rPr>
          <w:rFonts w:hint="default" w:ascii="Times New Roman" w:hAnsi="Times New Roman" w:cs="Times New Roman"/>
          <w:color w:val="auto"/>
          <w:szCs w:val="32"/>
        </w:rPr>
        <w:t>合规体系</w:t>
      </w:r>
      <w:r>
        <w:rPr>
          <w:rFonts w:hint="eastAsia" w:ascii="Times New Roman" w:hAnsi="Times New Roman" w:cs="Times New Roman"/>
          <w:color w:val="auto"/>
          <w:szCs w:val="32"/>
          <w:lang w:eastAsia="zh-CN"/>
        </w:rPr>
        <w:t>和</w:t>
      </w:r>
      <w:r>
        <w:rPr>
          <w:rFonts w:hint="default" w:ascii="Times New Roman" w:hAnsi="Times New Roman" w:cs="Times New Roman"/>
          <w:color w:val="auto"/>
          <w:szCs w:val="32"/>
        </w:rPr>
        <w:t>监管体系，</w:t>
      </w:r>
      <w:r>
        <w:rPr>
          <w:rFonts w:hint="eastAsia" w:ascii="Times New Roman" w:hAnsi="Times New Roman" w:cs="Times New Roman"/>
          <w:color w:val="auto"/>
          <w:szCs w:val="32"/>
          <w:lang w:eastAsia="zh-CN"/>
        </w:rPr>
        <w:t>牢牢</w:t>
      </w:r>
      <w:r>
        <w:rPr>
          <w:rFonts w:hint="default" w:ascii="Times New Roman" w:hAnsi="Times New Roman" w:cs="Times New Roman"/>
          <w:color w:val="auto"/>
          <w:szCs w:val="32"/>
        </w:rPr>
        <w:t>守住不发生系统性区域性</w:t>
      </w:r>
      <w:r>
        <w:rPr>
          <w:rFonts w:hint="eastAsia" w:ascii="Times New Roman" w:hAnsi="Times New Roman" w:cs="Times New Roman"/>
          <w:color w:val="auto"/>
          <w:szCs w:val="32"/>
          <w:lang w:eastAsia="zh-CN"/>
        </w:rPr>
        <w:t>金融</w:t>
      </w:r>
      <w:r>
        <w:rPr>
          <w:rFonts w:hint="default" w:ascii="Times New Roman" w:hAnsi="Times New Roman" w:cs="Times New Roman"/>
          <w:color w:val="auto"/>
          <w:szCs w:val="32"/>
        </w:rPr>
        <w:t>风险底线，</w:t>
      </w:r>
      <w:r>
        <w:rPr>
          <w:rFonts w:hint="eastAsia" w:ascii="Times New Roman" w:hAnsi="Times New Roman" w:cs="Times New Roman"/>
          <w:color w:val="auto"/>
          <w:szCs w:val="32"/>
          <w:lang w:eastAsia="zh-CN"/>
        </w:rPr>
        <w:t>实现可持续</w:t>
      </w:r>
      <w:r>
        <w:rPr>
          <w:rFonts w:hint="default" w:ascii="Times New Roman" w:hAnsi="Times New Roman" w:cs="Times New Roman"/>
          <w:color w:val="auto"/>
          <w:szCs w:val="32"/>
        </w:rPr>
        <w:t>健康发展。</w:t>
      </w:r>
    </w:p>
    <w:p>
      <w:pPr>
        <w:pStyle w:val="4"/>
        <w:pageBreakBefore w:val="0"/>
        <w:widowControl w:val="0"/>
        <w:kinsoku/>
        <w:wordWrap/>
        <w:overflowPunct/>
        <w:topLinePunct w:val="0"/>
        <w:bidi w:val="0"/>
        <w:adjustRightInd/>
        <w:snapToGrid/>
        <w:spacing w:line="560" w:lineRule="exact"/>
        <w:ind w:firstLine="643" w:firstLineChars="200"/>
        <w:rPr>
          <w:rFonts w:hint="default" w:ascii="Times New Roman" w:hAnsi="Times New Roman" w:eastAsia="楷体_GB2312" w:cs="Times New Roman"/>
          <w:color w:val="auto"/>
        </w:rPr>
      </w:pPr>
      <w:bookmarkStart w:id="16" w:name="_Toc998308484"/>
      <w:bookmarkStart w:id="17" w:name="_Toc23155"/>
      <w:bookmarkStart w:id="18" w:name="_Toc25296"/>
      <w:r>
        <w:rPr>
          <w:rFonts w:hint="default" w:ascii="Times New Roman" w:hAnsi="Times New Roman" w:eastAsia="楷体_GB2312" w:cs="Times New Roman"/>
          <w:color w:val="auto"/>
        </w:rPr>
        <w:t>（三）发展目标</w:t>
      </w:r>
      <w:bookmarkEnd w:id="16"/>
      <w:bookmarkEnd w:id="17"/>
      <w:bookmarkEnd w:id="18"/>
    </w:p>
    <w:p>
      <w:pPr>
        <w:pStyle w:val="2"/>
        <w:pageBreakBefore w:val="0"/>
        <w:widowControl w:val="0"/>
        <w:kinsoku/>
        <w:wordWrap/>
        <w:overflowPunct/>
        <w:topLinePunct w:val="0"/>
        <w:bidi w:val="0"/>
        <w:adjustRightInd/>
        <w:snapToGrid/>
        <w:spacing w:line="560" w:lineRule="exact"/>
        <w:rPr>
          <w:rFonts w:hint="default" w:ascii="Times New Roman" w:hAnsi="Times New Roman" w:cs="Times New Roman"/>
          <w:color w:val="auto"/>
          <w:szCs w:val="32"/>
        </w:rPr>
      </w:pPr>
      <w:r>
        <w:rPr>
          <w:rFonts w:hint="eastAsia" w:ascii="仿宋_GB2312" w:hAnsi="仿宋_GB2312" w:eastAsia="仿宋_GB2312" w:cs="仿宋_GB2312"/>
          <w:color w:val="auto"/>
          <w:szCs w:val="32"/>
        </w:rPr>
        <w:t>力争</w:t>
      </w:r>
      <w:r>
        <w:rPr>
          <w:rFonts w:hint="eastAsia" w:cs="仿宋_GB2312"/>
          <w:color w:val="auto"/>
          <w:szCs w:val="32"/>
          <w:lang w:val="en-US" w:eastAsia="zh-CN"/>
        </w:rPr>
        <w:t>到2025年</w:t>
      </w:r>
      <w:r>
        <w:rPr>
          <w:rFonts w:hint="eastAsia" w:ascii="仿宋_GB2312" w:hAnsi="仿宋_GB2312" w:eastAsia="仿宋_GB2312" w:cs="仿宋_GB2312"/>
          <w:color w:val="auto"/>
          <w:szCs w:val="32"/>
        </w:rPr>
        <w:t>，</w:t>
      </w:r>
      <w:r>
        <w:rPr>
          <w:rFonts w:hint="eastAsia" w:ascii="仿宋_GB2312" w:hAnsi="仿宋_GB2312" w:eastAsia="仿宋_GB2312" w:cs="仿宋_GB2312"/>
          <w:sz w:val="32"/>
          <w:szCs w:val="32"/>
          <w:lang w:eastAsia="zh-CN"/>
        </w:rPr>
        <w:t>进一步提升</w:t>
      </w:r>
      <w:r>
        <w:rPr>
          <w:rFonts w:hint="eastAsia" w:ascii="仿宋_GB2312" w:hAnsi="仿宋_GB2312" w:eastAsia="仿宋_GB2312" w:cs="仿宋_GB2312"/>
          <w:sz w:val="32"/>
          <w:szCs w:val="32"/>
        </w:rPr>
        <w:t>金融科技产业生态环境，</w:t>
      </w:r>
      <w:r>
        <w:rPr>
          <w:rFonts w:ascii="Times New Roman" w:hAnsi="Times New Roman" w:eastAsia="仿宋_GB2312" w:cs="Times New Roman"/>
          <w:sz w:val="32"/>
          <w:szCs w:val="32"/>
        </w:rPr>
        <w:t>集聚一批金融科技创新项目、创业团队、基础平台和优秀人才，培育一批金融科技龙头企业和行业标杆，着力突破一批金融科技前沿关键技术，推广应用一批高质量金融科技创新成果，促进形成一批金融科技业务标准</w:t>
      </w:r>
      <w:r>
        <w:rPr>
          <w:rFonts w:hint="eastAsia" w:ascii="Times New Roman" w:hAnsi="Times New Roman" w:cs="Times New Roman"/>
          <w:sz w:val="32"/>
          <w:szCs w:val="32"/>
          <w:lang w:eastAsia="zh-CN"/>
        </w:rPr>
        <w:t>，</w:t>
      </w:r>
      <w:r>
        <w:rPr>
          <w:rFonts w:hint="default" w:ascii="Times New Roman" w:hAnsi="Times New Roman" w:cs="Times New Roman"/>
          <w:color w:val="auto"/>
          <w:szCs w:val="32"/>
        </w:rPr>
        <w:t>将深圳建设成为具有国际影响力的金融科技中心城市。</w:t>
      </w:r>
    </w:p>
    <w:p>
      <w:pPr>
        <w:pageBreakBefore w:val="0"/>
        <w:widowControl w:val="0"/>
        <w:kinsoku/>
        <w:wordWrap/>
        <w:overflowPunct/>
        <w:topLinePunct w:val="0"/>
        <w:bidi w:val="0"/>
        <w:adjustRightInd/>
        <w:snapToGrid/>
        <w:spacing w:line="560" w:lineRule="exact"/>
        <w:ind w:firstLine="643" w:firstLineChars="200"/>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lang w:val="en-US" w:eastAsia="zh-CN"/>
        </w:rPr>
        <w:t>——</w:t>
      </w:r>
      <w:r>
        <w:rPr>
          <w:rFonts w:hint="eastAsia" w:ascii="仿宋_GB2312" w:hAnsi="仿宋_GB2312" w:eastAsia="仿宋_GB2312" w:cs="仿宋_GB2312"/>
          <w:b/>
          <w:bCs/>
          <w:color w:val="auto"/>
          <w:szCs w:val="32"/>
        </w:rPr>
        <w:t>金融科技集聚效应不断显现</w:t>
      </w:r>
      <w:r>
        <w:rPr>
          <w:rFonts w:hint="eastAsia" w:ascii="仿宋_GB2312" w:hAnsi="仿宋_GB2312" w:eastAsia="仿宋_GB2312" w:cs="仿宋_GB2312"/>
          <w:b/>
          <w:bCs/>
          <w:color w:val="auto"/>
          <w:szCs w:val="32"/>
          <w:lang w:eastAsia="zh-CN"/>
        </w:rPr>
        <w:t>。</w:t>
      </w:r>
      <w:r>
        <w:rPr>
          <w:rFonts w:hint="eastAsia" w:ascii="仿宋_GB2312" w:hAnsi="仿宋_GB2312" w:eastAsia="仿宋_GB2312" w:cs="仿宋_GB2312"/>
          <w:color w:val="auto"/>
          <w:szCs w:val="32"/>
        </w:rPr>
        <w:t>在全市形成</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个左右以金融科技为发展重点的园区、楼宇，</w:t>
      </w:r>
      <w:r>
        <w:rPr>
          <w:rFonts w:hint="eastAsia" w:ascii="仿宋_GB2312" w:hAnsi="仿宋_GB2312" w:eastAsia="仿宋_GB2312" w:cs="仿宋_GB2312"/>
          <w:color w:val="auto"/>
          <w:szCs w:val="32"/>
          <w:lang w:eastAsia="zh-CN"/>
        </w:rPr>
        <w:t>并</w:t>
      </w:r>
      <w:r>
        <w:rPr>
          <w:rFonts w:hint="eastAsia" w:ascii="仿宋_GB2312" w:hAnsi="仿宋_GB2312" w:eastAsia="仿宋_GB2312" w:cs="仿宋_GB2312"/>
          <w:color w:val="auto"/>
          <w:szCs w:val="32"/>
        </w:rPr>
        <w:t>形成较为完善的金融科技</w:t>
      </w:r>
      <w:r>
        <w:rPr>
          <w:rFonts w:hint="eastAsia" w:ascii="仿宋_GB2312" w:hAnsi="仿宋_GB2312" w:eastAsia="仿宋_GB2312" w:cs="仿宋_GB2312"/>
          <w:color w:val="auto"/>
          <w:szCs w:val="32"/>
          <w:lang w:eastAsia="zh-CN"/>
        </w:rPr>
        <w:t>配套</w:t>
      </w:r>
      <w:r>
        <w:rPr>
          <w:rFonts w:hint="eastAsia" w:ascii="仿宋_GB2312" w:hAnsi="仿宋_GB2312" w:eastAsia="仿宋_GB2312" w:cs="仿宋_GB2312"/>
          <w:color w:val="auto"/>
          <w:szCs w:val="32"/>
        </w:rPr>
        <w:t>支持</w:t>
      </w:r>
      <w:r>
        <w:rPr>
          <w:rFonts w:hint="eastAsia" w:ascii="仿宋_GB2312" w:hAnsi="仿宋_GB2312" w:eastAsia="仿宋_GB2312" w:cs="仿宋_GB2312"/>
          <w:color w:val="auto"/>
          <w:szCs w:val="32"/>
          <w:lang w:eastAsia="zh-CN"/>
        </w:rPr>
        <w:t>服务体系</w:t>
      </w:r>
      <w:r>
        <w:rPr>
          <w:rFonts w:hint="eastAsia" w:ascii="仿宋_GB2312" w:hAnsi="仿宋_GB2312" w:eastAsia="仿宋_GB2312" w:cs="仿宋_GB2312"/>
          <w:color w:val="auto"/>
          <w:szCs w:val="32"/>
        </w:rPr>
        <w:t>。</w:t>
      </w:r>
      <w:r>
        <w:rPr>
          <w:rFonts w:hint="eastAsia" w:ascii="Times New Roman" w:hAnsi="Times New Roman" w:cs="Times New Roman"/>
          <w:color w:val="auto"/>
          <w:szCs w:val="32"/>
          <w:lang w:eastAsia="zh-CN"/>
        </w:rPr>
        <w:t>集聚培育</w:t>
      </w:r>
      <w:r>
        <w:rPr>
          <w:rFonts w:hint="eastAsia" w:ascii="仿宋_GB2312" w:hAnsi="仿宋_GB2312" w:eastAsia="仿宋_GB2312" w:cs="仿宋_GB2312"/>
          <w:color w:val="auto"/>
          <w:szCs w:val="32"/>
          <w:lang w:val="en-US" w:eastAsia="zh-CN"/>
        </w:rPr>
        <w:t>10</w:t>
      </w:r>
      <w:r>
        <w:rPr>
          <w:rFonts w:hint="eastAsia" w:ascii="仿宋_GB2312" w:hAnsi="仿宋_GB2312" w:eastAsia="仿宋_GB2312" w:cs="仿宋_GB2312"/>
          <w:color w:val="auto"/>
          <w:szCs w:val="32"/>
        </w:rPr>
        <w:t>家以上国际知名的金融科技领军企业，</w:t>
      </w:r>
      <w:r>
        <w:rPr>
          <w:rFonts w:hint="eastAsia" w:cs="仿宋_GB2312"/>
          <w:color w:val="auto"/>
          <w:szCs w:val="32"/>
          <w:lang w:eastAsia="zh-CN"/>
        </w:rPr>
        <w:t>支持</w:t>
      </w:r>
      <w:r>
        <w:rPr>
          <w:rFonts w:hint="eastAsia" w:ascii="仿宋_GB2312" w:hAnsi="仿宋_GB2312" w:eastAsia="仿宋_GB2312" w:cs="仿宋_GB2312"/>
          <w:color w:val="auto"/>
          <w:szCs w:val="32"/>
        </w:rPr>
        <w:t>符合条件的</w:t>
      </w:r>
      <w:r>
        <w:rPr>
          <w:rFonts w:hint="eastAsia" w:cs="仿宋_GB2312"/>
          <w:color w:val="auto"/>
          <w:szCs w:val="32"/>
          <w:lang w:eastAsia="zh-CN"/>
        </w:rPr>
        <w:t>金融科技类企业在境内外</w:t>
      </w:r>
      <w:r>
        <w:rPr>
          <w:rFonts w:hint="eastAsia" w:ascii="仿宋_GB2312" w:hAnsi="仿宋_GB2312" w:eastAsia="仿宋_GB2312" w:cs="仿宋_GB2312"/>
          <w:color w:val="auto"/>
          <w:szCs w:val="32"/>
        </w:rPr>
        <w:t>上市</w:t>
      </w:r>
      <w:r>
        <w:rPr>
          <w:rFonts w:hint="eastAsia" w:cs="仿宋_GB2312"/>
          <w:color w:val="auto"/>
          <w:szCs w:val="32"/>
          <w:lang w:eastAsia="zh-CN"/>
        </w:rPr>
        <w:t>。</w:t>
      </w:r>
      <w:r>
        <w:rPr>
          <w:rFonts w:hint="eastAsia" w:ascii="仿宋_GB2312" w:hAnsi="仿宋_GB2312" w:eastAsia="仿宋_GB2312" w:cs="仿宋_GB2312"/>
          <w:color w:val="auto"/>
          <w:szCs w:val="32"/>
        </w:rPr>
        <w:t>国家级金融科技基础设施平台增至5家。</w:t>
      </w:r>
    </w:p>
    <w:p>
      <w:pPr>
        <w:pageBreakBefore w:val="0"/>
        <w:widowControl w:val="0"/>
        <w:kinsoku/>
        <w:wordWrap/>
        <w:overflowPunct/>
        <w:topLinePunct w:val="0"/>
        <w:bidi w:val="0"/>
        <w:adjustRightInd/>
        <w:snapToGrid/>
        <w:spacing w:line="560" w:lineRule="exact"/>
        <w:ind w:firstLine="643" w:firstLineChars="200"/>
        <w:rPr>
          <w:rFonts w:hint="eastAsia" w:ascii="Times New Roman" w:hAnsi="Times New Roman" w:eastAsia="仿宋_GB2312" w:cs="Times New Roman"/>
          <w:color w:val="auto"/>
          <w:szCs w:val="32"/>
          <w:lang w:eastAsia="zh-CN"/>
        </w:rPr>
      </w:pPr>
      <w:r>
        <w:rPr>
          <w:rFonts w:hint="eastAsia" w:cs="仿宋_GB2312"/>
          <w:b/>
          <w:bCs/>
          <w:color w:val="auto"/>
          <w:szCs w:val="32"/>
          <w:lang w:val="en-US" w:eastAsia="zh-CN"/>
        </w:rPr>
        <w:t>——</w:t>
      </w:r>
      <w:r>
        <w:rPr>
          <w:rFonts w:hint="default" w:ascii="Times New Roman" w:hAnsi="Times New Roman" w:cs="Times New Roman"/>
          <w:b/>
          <w:bCs/>
          <w:color w:val="auto"/>
          <w:szCs w:val="32"/>
        </w:rPr>
        <w:t>金融科技技术创新重点突破</w:t>
      </w:r>
      <w:r>
        <w:rPr>
          <w:rFonts w:hint="default" w:ascii="Times New Roman" w:hAnsi="Times New Roman" w:cs="Times New Roman"/>
          <w:b/>
          <w:bCs/>
          <w:color w:val="auto"/>
          <w:szCs w:val="32"/>
          <w:lang w:eastAsia="zh-CN"/>
        </w:rPr>
        <w:t>。</w:t>
      </w:r>
      <w:r>
        <w:rPr>
          <w:rFonts w:hint="default" w:ascii="Times New Roman" w:hAnsi="Times New Roman" w:cs="Times New Roman"/>
          <w:color w:val="auto"/>
          <w:szCs w:val="32"/>
        </w:rPr>
        <w:t>充分发挥深圳市创新资源集聚优势，</w:t>
      </w:r>
      <w:r>
        <w:rPr>
          <w:rFonts w:hint="eastAsia" w:ascii="Times New Roman" w:hAnsi="Times New Roman" w:cs="Times New Roman"/>
          <w:color w:val="auto"/>
          <w:szCs w:val="32"/>
          <w:lang w:eastAsia="zh-CN"/>
        </w:rPr>
        <w:t>推动金融科技关键软硬件应用研究攻关持续深入、场景适配不断加强、成果转化更加顺畅，</w:t>
      </w:r>
      <w:r>
        <w:rPr>
          <w:rFonts w:hint="default" w:ascii="Times New Roman" w:hAnsi="Times New Roman" w:cs="Times New Roman"/>
          <w:color w:val="auto"/>
          <w:szCs w:val="32"/>
        </w:rPr>
        <w:t>在芯片、算法等重点</w:t>
      </w:r>
      <w:r>
        <w:rPr>
          <w:rFonts w:hint="eastAsia" w:ascii="Times New Roman" w:hAnsi="Times New Roman" w:cs="Times New Roman"/>
          <w:color w:val="auto"/>
          <w:szCs w:val="32"/>
          <w:lang w:eastAsia="zh-CN"/>
        </w:rPr>
        <w:t>领域和关键</w:t>
      </w:r>
      <w:r>
        <w:rPr>
          <w:rFonts w:hint="default" w:ascii="Times New Roman" w:hAnsi="Times New Roman" w:cs="Times New Roman"/>
          <w:color w:val="auto"/>
          <w:szCs w:val="32"/>
        </w:rPr>
        <w:t>环节</w:t>
      </w:r>
      <w:r>
        <w:rPr>
          <w:rFonts w:hint="eastAsia" w:ascii="Times New Roman" w:hAnsi="Times New Roman" w:cs="Times New Roman"/>
          <w:color w:val="auto"/>
          <w:szCs w:val="32"/>
          <w:lang w:eastAsia="zh-CN"/>
        </w:rPr>
        <w:t>的效能稳步提升</w:t>
      </w:r>
      <w:r>
        <w:rPr>
          <w:rFonts w:hint="default" w:ascii="Times New Roman" w:hAnsi="Times New Roman" w:cs="Times New Roman"/>
          <w:color w:val="auto"/>
          <w:szCs w:val="32"/>
        </w:rPr>
        <w:t>，</w:t>
      </w:r>
      <w:r>
        <w:rPr>
          <w:rFonts w:hint="eastAsia" w:ascii="Times New Roman" w:hAnsi="Times New Roman" w:cs="Times New Roman"/>
          <w:color w:val="auto"/>
          <w:szCs w:val="32"/>
          <w:lang w:eastAsia="zh-CN"/>
        </w:rPr>
        <w:t>产学研用互为支撑、稳健高效的技术供应体系和开放创新生态更加健全。</w:t>
      </w:r>
    </w:p>
    <w:p>
      <w:pPr>
        <w:pageBreakBefore w:val="0"/>
        <w:widowControl w:val="0"/>
        <w:kinsoku/>
        <w:wordWrap/>
        <w:overflowPunct/>
        <w:topLinePunct w:val="0"/>
        <w:bidi w:val="0"/>
        <w:adjustRightInd/>
        <w:snapToGrid/>
        <w:spacing w:line="560" w:lineRule="exact"/>
        <w:ind w:firstLine="643" w:firstLineChars="200"/>
        <w:rPr>
          <w:rFonts w:hint="eastAsia" w:ascii="Times New Roman" w:hAnsi="Times New Roman" w:cs="Times New Roman"/>
          <w:color w:val="auto"/>
          <w:szCs w:val="32"/>
          <w:lang w:eastAsia="zh-CN"/>
        </w:rPr>
      </w:pPr>
      <w:r>
        <w:rPr>
          <w:rFonts w:hint="eastAsia" w:cs="仿宋_GB2312"/>
          <w:b/>
          <w:bCs/>
          <w:color w:val="auto"/>
          <w:szCs w:val="32"/>
          <w:lang w:val="en-US" w:eastAsia="zh-CN"/>
        </w:rPr>
        <w:t>——</w:t>
      </w:r>
      <w:r>
        <w:rPr>
          <w:rFonts w:hint="default" w:ascii="Times New Roman" w:hAnsi="Times New Roman" w:cs="Times New Roman"/>
          <w:b/>
          <w:bCs/>
          <w:color w:val="auto"/>
          <w:szCs w:val="32"/>
        </w:rPr>
        <w:t>金融科技</w:t>
      </w:r>
      <w:r>
        <w:rPr>
          <w:rFonts w:hint="eastAsia" w:ascii="Times New Roman" w:hAnsi="Times New Roman" w:cs="Times New Roman"/>
          <w:b/>
          <w:bCs/>
          <w:color w:val="auto"/>
          <w:szCs w:val="32"/>
          <w:lang w:eastAsia="zh-CN"/>
        </w:rPr>
        <w:t>场景</w:t>
      </w:r>
      <w:r>
        <w:rPr>
          <w:rFonts w:hint="default" w:ascii="Times New Roman" w:hAnsi="Times New Roman" w:cs="Times New Roman"/>
          <w:b/>
          <w:bCs/>
          <w:color w:val="auto"/>
          <w:szCs w:val="32"/>
        </w:rPr>
        <w:t>应用广泛</w:t>
      </w:r>
      <w:r>
        <w:rPr>
          <w:rFonts w:hint="eastAsia" w:ascii="Times New Roman" w:hAnsi="Times New Roman" w:cs="Times New Roman"/>
          <w:b/>
          <w:bCs/>
          <w:color w:val="auto"/>
          <w:szCs w:val="32"/>
          <w:lang w:eastAsia="zh-CN"/>
        </w:rPr>
        <w:t>普及。</w:t>
      </w:r>
      <w:r>
        <w:rPr>
          <w:rFonts w:hint="default" w:ascii="Times New Roman" w:hAnsi="Times New Roman" w:cs="Times New Roman"/>
          <w:color w:val="auto"/>
          <w:szCs w:val="32"/>
        </w:rPr>
        <w:t>金融科技产品种类不断丰富</w:t>
      </w:r>
      <w:r>
        <w:rPr>
          <w:rFonts w:hint="eastAsia" w:ascii="Times New Roman" w:hAnsi="Times New Roman" w:cs="Times New Roman"/>
          <w:color w:val="auto"/>
          <w:szCs w:val="32"/>
          <w:lang w:eastAsia="zh-CN"/>
        </w:rPr>
        <w:t>、应用场景持续拓展、</w:t>
      </w:r>
      <w:r>
        <w:rPr>
          <w:rFonts w:hint="default" w:ascii="Times New Roman" w:hAnsi="Times New Roman" w:cs="Times New Roman"/>
          <w:color w:val="auto"/>
          <w:szCs w:val="32"/>
        </w:rPr>
        <w:t>普惠范围</w:t>
      </w:r>
      <w:r>
        <w:rPr>
          <w:rFonts w:hint="eastAsia" w:ascii="Times New Roman" w:hAnsi="Times New Roman" w:cs="Times New Roman"/>
          <w:color w:val="auto"/>
          <w:szCs w:val="32"/>
          <w:lang w:eastAsia="zh-CN"/>
        </w:rPr>
        <w:t>有序</w:t>
      </w:r>
      <w:r>
        <w:rPr>
          <w:rFonts w:hint="default" w:ascii="Times New Roman" w:hAnsi="Times New Roman" w:cs="Times New Roman"/>
          <w:color w:val="auto"/>
          <w:szCs w:val="32"/>
        </w:rPr>
        <w:t>扩大，</w:t>
      </w:r>
      <w:r>
        <w:rPr>
          <w:rFonts w:hint="eastAsia" w:ascii="Times New Roman" w:hAnsi="Times New Roman" w:cs="Times New Roman"/>
          <w:color w:val="auto"/>
          <w:szCs w:val="32"/>
          <w:lang w:eastAsia="zh-CN"/>
        </w:rPr>
        <w:t>金融机构上云用数赋智水平稳步提高，金融业数字化迈入深化发展新阶段。数字普惠金融和无障碍服务体系更加完善，科技赋能金融资源更加精准高效地配置，助力金融服务实体经济提质增效。</w:t>
      </w:r>
    </w:p>
    <w:p>
      <w:pPr>
        <w:pageBreakBefore w:val="0"/>
        <w:widowControl w:val="0"/>
        <w:kinsoku/>
        <w:wordWrap/>
        <w:overflowPunct/>
        <w:topLinePunct w:val="0"/>
        <w:bidi w:val="0"/>
        <w:adjustRightInd/>
        <w:snapToGrid/>
        <w:spacing w:line="560" w:lineRule="exact"/>
        <w:ind w:firstLine="643" w:firstLineChars="200"/>
        <w:rPr>
          <w:rFonts w:hint="default" w:ascii="Times New Roman" w:hAnsi="Times New Roman" w:cs="Times New Roman"/>
          <w:color w:val="auto"/>
          <w:szCs w:val="32"/>
        </w:rPr>
      </w:pPr>
      <w:r>
        <w:rPr>
          <w:rFonts w:hint="eastAsia" w:cs="仿宋_GB2312"/>
          <w:b/>
          <w:bCs/>
          <w:color w:val="auto"/>
          <w:szCs w:val="32"/>
          <w:lang w:val="en-US" w:eastAsia="zh-CN"/>
        </w:rPr>
        <w:t>——</w:t>
      </w:r>
      <w:r>
        <w:rPr>
          <w:rFonts w:hint="default" w:ascii="Times New Roman" w:hAnsi="Times New Roman" w:cs="Times New Roman"/>
          <w:b/>
          <w:bCs/>
          <w:color w:val="auto"/>
          <w:szCs w:val="32"/>
        </w:rPr>
        <w:t>金融科技人才培育初具成效</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金融科技人才规模显著提升</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集聚</w:t>
      </w:r>
      <w:r>
        <w:rPr>
          <w:rFonts w:hint="eastAsia" w:ascii="Times New Roman" w:hAnsi="Times New Roman" w:cs="Times New Roman"/>
          <w:color w:val="auto"/>
          <w:szCs w:val="32"/>
          <w:lang w:eastAsia="zh-CN"/>
        </w:rPr>
        <w:t>效应持续增强，</w:t>
      </w:r>
      <w:r>
        <w:rPr>
          <w:rFonts w:hint="default" w:ascii="Times New Roman" w:hAnsi="Times New Roman" w:cs="Times New Roman"/>
          <w:color w:val="auto"/>
          <w:szCs w:val="32"/>
        </w:rPr>
        <w:t>取得深港澳金融科技师资格人数达到</w:t>
      </w:r>
      <w:r>
        <w:rPr>
          <w:rFonts w:hint="eastAsia" w:ascii="仿宋_GB2312" w:hAnsi="仿宋_GB2312" w:eastAsia="仿宋_GB2312" w:cs="仿宋_GB2312"/>
          <w:color w:val="auto"/>
          <w:szCs w:val="32"/>
        </w:rPr>
        <w:t>1000</w:t>
      </w:r>
      <w:r>
        <w:rPr>
          <w:rFonts w:hint="default" w:ascii="Times New Roman" w:hAnsi="Times New Roman" w:cs="Times New Roman"/>
          <w:color w:val="auto"/>
          <w:szCs w:val="32"/>
        </w:rPr>
        <w:t>人，形成较为完善的金融科技人才培养</w:t>
      </w:r>
      <w:r>
        <w:rPr>
          <w:rFonts w:hint="eastAsia" w:ascii="Times New Roman" w:hAnsi="Times New Roman" w:cs="Times New Roman"/>
          <w:color w:val="auto"/>
          <w:szCs w:val="32"/>
          <w:lang w:eastAsia="zh-CN"/>
        </w:rPr>
        <w:t>和</w:t>
      </w:r>
      <w:r>
        <w:rPr>
          <w:rFonts w:hint="default" w:ascii="Times New Roman" w:hAnsi="Times New Roman" w:cs="Times New Roman"/>
          <w:color w:val="auto"/>
          <w:szCs w:val="32"/>
        </w:rPr>
        <w:t>评价体系，初步建成鼓励创新创业、宜居宜业的金融科技人才发展环境。</w:t>
      </w:r>
    </w:p>
    <w:p>
      <w:pPr>
        <w:pageBreakBefore w:val="0"/>
        <w:widowControl w:val="0"/>
        <w:kinsoku/>
        <w:wordWrap/>
        <w:overflowPunct/>
        <w:topLinePunct w:val="0"/>
        <w:bidi w:val="0"/>
        <w:adjustRightInd/>
        <w:snapToGrid/>
        <w:spacing w:line="560" w:lineRule="exact"/>
        <w:ind w:firstLine="643" w:firstLineChars="200"/>
        <w:rPr>
          <w:rFonts w:hint="default" w:ascii="Times New Roman" w:hAnsi="Times New Roman" w:cs="Times New Roman"/>
          <w:color w:val="auto"/>
          <w:szCs w:val="32"/>
        </w:rPr>
      </w:pPr>
      <w:r>
        <w:rPr>
          <w:rFonts w:hint="eastAsia" w:cs="仿宋_GB2312"/>
          <w:b/>
          <w:bCs/>
          <w:color w:val="auto"/>
          <w:szCs w:val="32"/>
          <w:lang w:val="en-US" w:eastAsia="zh-CN"/>
        </w:rPr>
        <w:t>——</w:t>
      </w:r>
      <w:r>
        <w:rPr>
          <w:rFonts w:hint="default" w:ascii="Times New Roman" w:hAnsi="Times New Roman" w:cs="Times New Roman"/>
          <w:b/>
          <w:bCs/>
          <w:color w:val="auto"/>
          <w:szCs w:val="32"/>
        </w:rPr>
        <w:t>监管科技创新应用走在前列</w:t>
      </w:r>
      <w:r>
        <w:rPr>
          <w:rFonts w:hint="eastAsia" w:ascii="Times New Roman" w:hAnsi="Times New Roman" w:cs="Times New Roman"/>
          <w:b/>
          <w:bCs/>
          <w:color w:val="auto"/>
          <w:szCs w:val="32"/>
          <w:lang w:eastAsia="zh-CN"/>
        </w:rPr>
        <w:t>。</w:t>
      </w:r>
      <w:r>
        <w:rPr>
          <w:rFonts w:hint="eastAsia" w:ascii="仿宋_GB2312" w:hAnsi="仿宋_GB2312" w:eastAsia="仿宋_GB2312" w:cs="仿宋_GB2312"/>
          <w:color w:val="auto"/>
          <w:szCs w:val="32"/>
        </w:rPr>
        <w:t>培育</w:t>
      </w:r>
      <w:r>
        <w:rPr>
          <w:rFonts w:hint="eastAsia" w:cs="仿宋_GB2312"/>
          <w:color w:val="auto"/>
          <w:szCs w:val="32"/>
          <w:lang w:eastAsia="zh-CN"/>
        </w:rPr>
        <w:t>一批在合规科技、</w:t>
      </w:r>
      <w:r>
        <w:rPr>
          <w:rFonts w:hint="eastAsia" w:ascii="仿宋_GB2312" w:hAnsi="仿宋_GB2312" w:eastAsia="仿宋_GB2312" w:cs="仿宋_GB2312"/>
          <w:color w:val="auto"/>
          <w:szCs w:val="32"/>
        </w:rPr>
        <w:t>监管科技</w:t>
      </w:r>
      <w:r>
        <w:rPr>
          <w:rFonts w:hint="eastAsia" w:cs="仿宋_GB2312"/>
          <w:color w:val="auto"/>
          <w:szCs w:val="32"/>
          <w:lang w:eastAsia="zh-CN"/>
        </w:rPr>
        <w:t>、伦理规范等</w:t>
      </w:r>
      <w:r>
        <w:rPr>
          <w:rFonts w:hint="eastAsia" w:ascii="仿宋_GB2312" w:hAnsi="仿宋_GB2312" w:eastAsia="仿宋_GB2312" w:cs="仿宋_GB2312"/>
          <w:color w:val="auto"/>
          <w:szCs w:val="32"/>
        </w:rPr>
        <w:t>领域</w:t>
      </w:r>
      <w:r>
        <w:rPr>
          <w:rFonts w:hint="eastAsia" w:cs="仿宋_GB2312"/>
          <w:color w:val="auto"/>
          <w:szCs w:val="32"/>
          <w:lang w:eastAsia="zh-CN"/>
        </w:rPr>
        <w:t>具备较强竞争优势的优质</w:t>
      </w:r>
      <w:r>
        <w:rPr>
          <w:rFonts w:hint="eastAsia" w:ascii="仿宋_GB2312" w:hAnsi="仿宋_GB2312" w:eastAsia="仿宋_GB2312" w:cs="仿宋_GB2312"/>
          <w:color w:val="auto"/>
          <w:szCs w:val="32"/>
        </w:rPr>
        <w:t>企业，形成较为完善的</w:t>
      </w:r>
      <w:r>
        <w:rPr>
          <w:rFonts w:hint="eastAsia" w:cs="仿宋_GB2312"/>
          <w:color w:val="auto"/>
          <w:szCs w:val="32"/>
          <w:lang w:eastAsia="zh-CN"/>
        </w:rPr>
        <w:t>金融科技治理</w:t>
      </w:r>
      <w:r>
        <w:rPr>
          <w:rFonts w:hint="eastAsia" w:ascii="仿宋_GB2312" w:hAnsi="仿宋_GB2312" w:eastAsia="仿宋_GB2312" w:cs="仿宋_GB2312"/>
          <w:color w:val="auto"/>
          <w:szCs w:val="32"/>
        </w:rPr>
        <w:t>体系，</w:t>
      </w:r>
      <w:r>
        <w:rPr>
          <w:rFonts w:hint="eastAsia" w:cs="仿宋_GB2312"/>
          <w:color w:val="auto"/>
          <w:szCs w:val="32"/>
          <w:lang w:eastAsia="zh-CN"/>
        </w:rPr>
        <w:t>金融科技创新监管进一步强化</w:t>
      </w:r>
      <w:r>
        <w:rPr>
          <w:rFonts w:hint="eastAsia" w:ascii="仿宋_GB2312" w:hAnsi="仿宋_GB2312" w:eastAsia="仿宋_GB2312" w:cs="仿宋_GB2312"/>
          <w:color w:val="auto"/>
          <w:szCs w:val="32"/>
        </w:rPr>
        <w:t>，</w:t>
      </w:r>
      <w:r>
        <w:rPr>
          <w:rFonts w:hint="eastAsia" w:cs="仿宋_GB2312"/>
          <w:color w:val="auto"/>
          <w:szCs w:val="32"/>
          <w:lang w:eastAsia="zh-CN"/>
        </w:rPr>
        <w:t>数字化监管能力持续</w:t>
      </w:r>
      <w:r>
        <w:rPr>
          <w:rFonts w:hint="eastAsia" w:ascii="仿宋_GB2312" w:hAnsi="仿宋_GB2312" w:eastAsia="仿宋_GB2312" w:cs="仿宋_GB2312"/>
          <w:color w:val="auto"/>
          <w:szCs w:val="32"/>
        </w:rPr>
        <w:t>提升，</w:t>
      </w:r>
      <w:r>
        <w:rPr>
          <w:rFonts w:hint="eastAsia" w:cs="仿宋_GB2312"/>
          <w:color w:val="auto"/>
          <w:szCs w:val="32"/>
          <w:lang w:eastAsia="zh-CN"/>
        </w:rPr>
        <w:t>与金融科技创新发展相匹配的风险防控体系更加健全</w:t>
      </w:r>
      <w:r>
        <w:rPr>
          <w:rFonts w:hint="eastAsia" w:ascii="仿宋_GB2312" w:hAnsi="仿宋_GB2312" w:eastAsia="仿宋_GB2312" w:cs="仿宋_GB2312"/>
          <w:color w:val="auto"/>
          <w:szCs w:val="32"/>
        </w:rPr>
        <w:t>。</w:t>
      </w:r>
    </w:p>
    <w:p>
      <w:pPr>
        <w:pStyle w:val="3"/>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bookmarkStart w:id="19" w:name="_Toc13654"/>
      <w:bookmarkStart w:id="20" w:name="_Toc581148126"/>
      <w:bookmarkStart w:id="21" w:name="_Toc4358"/>
      <w:r>
        <w:rPr>
          <w:rFonts w:hint="default"/>
          <w:color w:val="auto"/>
        </w:rPr>
        <w:t>三、</w:t>
      </w:r>
      <w:r>
        <w:rPr>
          <w:rFonts w:hint="eastAsia"/>
          <w:color w:val="auto"/>
          <w:lang w:val="en-US" w:eastAsia="zh-CN"/>
        </w:rPr>
        <w:t>主要任务</w:t>
      </w:r>
      <w:bookmarkEnd w:id="19"/>
      <w:bookmarkEnd w:id="20"/>
    </w:p>
    <w:p>
      <w:pPr>
        <w:pStyle w:val="4"/>
        <w:pageBreakBefore w:val="0"/>
        <w:widowControl w:val="0"/>
        <w:kinsoku/>
        <w:wordWrap/>
        <w:overflowPunct/>
        <w:topLinePunct w:val="0"/>
        <w:autoSpaceDE/>
        <w:autoSpaceDN/>
        <w:bidi w:val="0"/>
        <w:adjustRightInd/>
        <w:snapToGrid/>
        <w:spacing w:line="560" w:lineRule="exact"/>
        <w:textAlignment w:val="auto"/>
        <w:rPr>
          <w:rFonts w:hint="default"/>
          <w:color w:val="auto"/>
        </w:rPr>
      </w:pPr>
      <w:bookmarkStart w:id="22" w:name="_Toc9430"/>
      <w:bookmarkStart w:id="23" w:name="_Toc1503501634"/>
      <w:r>
        <w:rPr>
          <w:rFonts w:hint="eastAsia"/>
          <w:color w:val="auto"/>
          <w:lang w:eastAsia="zh-CN"/>
        </w:rPr>
        <w:t>（</w:t>
      </w:r>
      <w:r>
        <w:rPr>
          <w:rFonts w:hint="eastAsia"/>
          <w:color w:val="auto"/>
          <w:lang w:val="en-US" w:eastAsia="zh-CN"/>
        </w:rPr>
        <w:t>一</w:t>
      </w:r>
      <w:r>
        <w:rPr>
          <w:rFonts w:hint="eastAsia"/>
          <w:color w:val="auto"/>
          <w:lang w:eastAsia="zh-CN"/>
        </w:rPr>
        <w:t>）</w:t>
      </w:r>
      <w:r>
        <w:rPr>
          <w:rFonts w:hint="default"/>
          <w:color w:val="auto"/>
        </w:rPr>
        <w:t>推动金融科技机构高水平集聚</w:t>
      </w:r>
      <w:bookmarkEnd w:id="21"/>
      <w:bookmarkEnd w:id="22"/>
      <w:bookmarkEnd w:id="23"/>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color w:val="auto"/>
        </w:rPr>
      </w:pPr>
      <w:bookmarkStart w:id="24" w:name="_Toc26029"/>
      <w:r>
        <w:rPr>
          <w:rFonts w:hint="default"/>
          <w:b/>
          <w:bCs/>
          <w:color w:val="auto"/>
          <w:lang w:val="en-US" w:eastAsia="zh-CN"/>
        </w:rPr>
        <w:t>1.</w:t>
      </w:r>
      <w:r>
        <w:rPr>
          <w:rFonts w:hint="eastAsia"/>
          <w:b/>
          <w:bCs/>
          <w:color w:val="auto"/>
        </w:rPr>
        <w:t>吸引集聚</w:t>
      </w:r>
      <w:r>
        <w:rPr>
          <w:rFonts w:hint="eastAsia"/>
          <w:b/>
          <w:bCs/>
          <w:color w:val="auto"/>
          <w:lang w:val="en-US" w:eastAsia="zh-CN"/>
        </w:rPr>
        <w:t>各类</w:t>
      </w:r>
      <w:r>
        <w:rPr>
          <w:rFonts w:hint="eastAsia"/>
          <w:b/>
          <w:bCs/>
          <w:color w:val="auto"/>
        </w:rPr>
        <w:t>金融科技创新主体</w:t>
      </w:r>
      <w:bookmarkEnd w:id="24"/>
      <w:r>
        <w:rPr>
          <w:rFonts w:hint="eastAsia"/>
          <w:b/>
          <w:bCs/>
          <w:color w:val="auto"/>
          <w:lang w:eastAsia="zh-CN"/>
        </w:rPr>
        <w:t>。</w:t>
      </w:r>
      <w:r>
        <w:rPr>
          <w:rFonts w:hint="eastAsia"/>
          <w:color w:val="auto"/>
          <w:lang w:val="en-US" w:eastAsia="zh-CN"/>
        </w:rPr>
        <w:t>加大</w:t>
      </w:r>
      <w:r>
        <w:rPr>
          <w:rFonts w:hint="default"/>
          <w:color w:val="auto"/>
        </w:rPr>
        <w:t>《深圳市扶持金融科技发展若干措施》</w:t>
      </w:r>
      <w:r>
        <w:rPr>
          <w:rFonts w:hint="eastAsia"/>
          <w:color w:val="auto"/>
          <w:lang w:val="en-US" w:eastAsia="zh-CN"/>
        </w:rPr>
        <w:t>等系列政策宣传推广力度</w:t>
      </w:r>
      <w:r>
        <w:rPr>
          <w:rFonts w:hint="default"/>
          <w:color w:val="auto"/>
        </w:rPr>
        <w:t>，鼓励国内外机构在</w:t>
      </w:r>
      <w:r>
        <w:rPr>
          <w:rFonts w:hint="eastAsia"/>
          <w:color w:val="auto"/>
          <w:lang w:val="en-US" w:eastAsia="zh-CN"/>
        </w:rPr>
        <w:t>深</w:t>
      </w:r>
      <w:r>
        <w:rPr>
          <w:rFonts w:hint="default"/>
          <w:color w:val="auto"/>
        </w:rPr>
        <w:t>设立</w:t>
      </w:r>
      <w:r>
        <w:rPr>
          <w:rFonts w:hint="eastAsia"/>
          <w:color w:val="auto"/>
          <w:lang w:val="en-US" w:eastAsia="zh-CN"/>
        </w:rPr>
        <w:t>金融科技</w:t>
      </w:r>
      <w:r>
        <w:rPr>
          <w:rFonts w:hint="default"/>
          <w:color w:val="auto"/>
        </w:rPr>
        <w:t>赋能平台、事业部或金融科技公司</w:t>
      </w:r>
      <w:r>
        <w:rPr>
          <w:rFonts w:hint="eastAsia"/>
          <w:color w:val="auto"/>
          <w:lang w:eastAsia="zh-CN"/>
        </w:rPr>
        <w:t>，</w:t>
      </w:r>
      <w:r>
        <w:rPr>
          <w:rFonts w:hint="eastAsia"/>
          <w:color w:val="auto"/>
          <w:lang w:val="en-US" w:eastAsia="zh-CN"/>
        </w:rPr>
        <w:t>争取</w:t>
      </w:r>
      <w:r>
        <w:rPr>
          <w:rFonts w:hint="default"/>
          <w:color w:val="auto"/>
        </w:rPr>
        <w:t>国家金融监管部门及其直属机构来深发起设立清算中心、数据中心、科研中心、测评中心和服务中心</w:t>
      </w:r>
      <w:r>
        <w:rPr>
          <w:rFonts w:hint="eastAsia"/>
          <w:color w:val="auto"/>
          <w:lang w:eastAsia="zh-CN"/>
        </w:rPr>
        <w:t>。</w:t>
      </w:r>
      <w:r>
        <w:rPr>
          <w:rFonts w:hint="default"/>
          <w:color w:val="auto"/>
        </w:rPr>
        <w:t>在银行、保险、证券、基金、金融租赁等传统金融领域，积极推动和培育一批数字化转型成效显著的持牌金融机构，带动金融业数字化转型升级。培育一批为持牌金融机构提供科技服务，数字化业务模式成熟、技术水平高的金融科技“专精特新”企业。</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color w:val="auto"/>
        </w:rPr>
      </w:pPr>
      <w:bookmarkStart w:id="25" w:name="_Toc20709"/>
      <w:r>
        <w:rPr>
          <w:rFonts w:hint="eastAsia"/>
          <w:b/>
          <w:bCs/>
          <w:color w:val="auto"/>
          <w:lang w:val="en-US" w:eastAsia="zh-CN"/>
        </w:rPr>
        <w:t>2</w:t>
      </w:r>
      <w:r>
        <w:rPr>
          <w:rFonts w:hint="default"/>
          <w:b/>
          <w:bCs/>
          <w:color w:val="auto"/>
          <w:lang w:val="en-US" w:eastAsia="zh-CN"/>
        </w:rPr>
        <w:t>.</w:t>
      </w:r>
      <w:bookmarkEnd w:id="25"/>
      <w:r>
        <w:rPr>
          <w:rFonts w:hint="eastAsia"/>
          <w:b/>
          <w:bCs/>
          <w:color w:val="auto"/>
          <w:lang w:val="en-US" w:eastAsia="zh-CN"/>
        </w:rPr>
        <w:t>推动建设若干金融科技集聚功能区</w:t>
      </w:r>
      <w:r>
        <w:rPr>
          <w:rFonts w:hint="eastAsia"/>
          <w:b/>
          <w:bCs/>
          <w:color w:val="auto"/>
          <w:lang w:eastAsia="zh-CN"/>
        </w:rPr>
        <w:t>。</w:t>
      </w:r>
      <w:r>
        <w:rPr>
          <w:rFonts w:hint="eastAsia"/>
          <w:color w:val="auto"/>
          <w:lang w:val="en-US" w:eastAsia="zh-CN"/>
        </w:rPr>
        <w:t>支持各区结合自身产业优势、资源禀赋等找准功能定位，制定差异化措施，发展金融科技特色领域，在金融科技赋能科创产业、深港跨境合作、供应链金融、海洋金融等方面互补协同发展。依托金融科技龙头企业和基础较好的专业园区（楼宇），在梅彩片区、深圳湾科技生态园、红岭新兴金融产业带、香蜜湖新金融中心、宝安湾滨海金融中心、前海深港国际金融城等区域建设、认定若干市级金融科技产业园区（楼宇），打造金融科技展示窗口和特色名片。综合考虑</w:t>
      </w:r>
      <w:r>
        <w:rPr>
          <w:rFonts w:hint="default"/>
          <w:color w:val="auto"/>
        </w:rPr>
        <w:t>营收、融资、贡献、科研水平和影响力</w:t>
      </w:r>
      <w:r>
        <w:rPr>
          <w:rFonts w:hint="eastAsia"/>
          <w:color w:val="auto"/>
          <w:lang w:val="en-US" w:eastAsia="zh-CN"/>
        </w:rPr>
        <w:t>等</w:t>
      </w:r>
      <w:r>
        <w:rPr>
          <w:rFonts w:hint="default"/>
          <w:color w:val="auto"/>
        </w:rPr>
        <w:t>，定期遴选发现一批金融科技领域重点企业</w:t>
      </w:r>
      <w:r>
        <w:rPr>
          <w:rFonts w:hint="eastAsia"/>
          <w:color w:val="auto"/>
          <w:lang w:eastAsia="zh-CN"/>
        </w:rPr>
        <w:t>，</w:t>
      </w:r>
      <w:r>
        <w:rPr>
          <w:rFonts w:hint="eastAsia"/>
          <w:color w:val="auto"/>
          <w:lang w:val="en-US" w:eastAsia="zh-CN"/>
        </w:rPr>
        <w:t>完善市区联动挂点服务机制，着力培育一批领军企业</w:t>
      </w:r>
      <w:r>
        <w:rPr>
          <w:rFonts w:hint="default"/>
          <w:color w:val="auto"/>
        </w:rPr>
        <w:t>。</w:t>
      </w:r>
    </w:p>
    <w:tbl>
      <w:tblPr>
        <w:tblStyle w:val="15"/>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59" w:type="dxa"/>
            <w:tcMar>
              <w:top w:w="57" w:type="dxa"/>
              <w:left w:w="170" w:type="dxa"/>
              <w:bottom w:w="57" w:type="dxa"/>
              <w:right w:w="170" w:type="dxa"/>
            </w:tcMar>
            <w:vAlign w:val="top"/>
          </w:tcPr>
          <w:p>
            <w:pPr>
              <w:pStyle w:val="2"/>
              <w:keepNext w:val="0"/>
              <w:keepLines w:val="0"/>
              <w:pageBreakBefore w:val="0"/>
              <w:widowControl w:val="0"/>
              <w:kinsoku/>
              <w:wordWrap/>
              <w:overflowPunct/>
              <w:topLinePunct w:val="0"/>
              <w:autoSpaceDE/>
              <w:autoSpaceDN/>
              <w:bidi w:val="0"/>
              <w:adjustRightInd/>
              <w:snapToGrid w:val="0"/>
              <w:spacing w:before="219" w:beforeLines="50" w:after="110" w:afterLines="25" w:line="400" w:lineRule="exact"/>
              <w:ind w:left="0" w:leftChars="0" w:firstLine="0" w:firstLineChars="0"/>
              <w:jc w:val="both"/>
              <w:textAlignment w:val="baseline"/>
              <w:rPr>
                <w:rFonts w:hint="eastAsia"/>
                <w:sz w:val="28"/>
                <w:szCs w:val="21"/>
                <w:lang w:val="en-US" w:eastAsia="zh-CN"/>
              </w:rPr>
            </w:pPr>
            <w:bookmarkStart w:id="26" w:name="_Toc2553"/>
            <w:r>
              <w:rPr>
                <w:rFonts w:hint="eastAsia"/>
                <w:b/>
                <w:bCs/>
                <w:sz w:val="28"/>
                <w:szCs w:val="21"/>
                <w:lang w:val="en-US" w:eastAsia="zh-CN"/>
              </w:rPr>
              <w:t>专栏1：湾区国际金融科技城</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ascii="楷体_GB2312" w:hAnsi="楷体_GB2312" w:eastAsia="楷体_GB2312" w:cs="楷体_GB2312"/>
                <w:sz w:val="28"/>
                <w:szCs w:val="21"/>
                <w:lang w:val="en-US" w:eastAsia="zh-CN"/>
              </w:rPr>
            </w:pPr>
            <w:r>
              <w:rPr>
                <w:rFonts w:hint="eastAsia" w:ascii="楷体_GB2312" w:hAnsi="楷体_GB2312" w:eastAsia="楷体_GB2312" w:cs="楷体_GB2312"/>
                <w:sz w:val="28"/>
                <w:szCs w:val="21"/>
                <w:lang w:val="en-US" w:eastAsia="zh-CN"/>
              </w:rPr>
              <w:t>为加快金融科技空间载体建设，打造有国际影响力的金融科技生态产业集群，福田区于2019、2020年先后推出金融科技专业空间载体——湾区国际金融科技城、国际金融科技生态园（简称“福田金科双园”），打造都市型、分布式、智能化金科园区，两园区具备要素组合优势、运行效率优势、综合成本优势，形成福田区金融科技“双园联动”的发展格局。</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ascii="楷体_GB2312" w:hAnsi="楷体_GB2312" w:eastAsia="楷体_GB2312" w:cs="楷体_GB2312"/>
                <w:sz w:val="28"/>
                <w:szCs w:val="21"/>
                <w:lang w:val="en-US" w:eastAsia="zh-CN"/>
              </w:rPr>
            </w:pPr>
            <w:r>
              <w:rPr>
                <w:rFonts w:hint="eastAsia" w:ascii="楷体_GB2312" w:hAnsi="楷体_GB2312" w:eastAsia="楷体_GB2312" w:cs="楷体_GB2312"/>
                <w:sz w:val="28"/>
                <w:szCs w:val="21"/>
                <w:lang w:val="en-US" w:eastAsia="zh-CN"/>
              </w:rPr>
              <w:t>福田区改变传统物业管理公司运营模式，将“金科双园”交由深圳市金融科技协会运营，通过深度挖掘行业资源、开展招商引资、举办专业对接活动、提供企业注册托管服务、承建福田金融科技加速器、开展金融人才培训、承担接待运营事务等，为入驻企业提供精准服务。同时，充分发挥行业组织的联动效应，助力形成产业氛围浓厚、行业资源集聚、产业集群成型、专业服务支撑四大特色。开园以来，福田金科双园共组织湾区金科（FinTech）沙龙、行业交流会、融资或产品路演、政企交流等活动超百场，涉及人工智能、大数据、区块链、金融云、信息安全等技术话题，汇聚了金融机构CIO、金融科技公司创始人及从业者、技术人员等。截至2021年底，园区常驻人员2236名，园区企业主营业务收入达57.5亿元，同比增长40.8%；贡献税收达2.2亿元，同比增长73.6%。</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lang w:val="en-US" w:eastAsia="zh-CN"/>
              </w:rPr>
            </w:pPr>
            <w:r>
              <w:rPr>
                <w:rFonts w:hint="eastAsia" w:ascii="楷体_GB2312" w:hAnsi="楷体_GB2312" w:eastAsia="楷体_GB2312" w:cs="楷体_GB2312"/>
                <w:sz w:val="28"/>
                <w:szCs w:val="21"/>
                <w:lang w:val="en-US" w:eastAsia="zh-CN"/>
              </w:rPr>
              <w:t>据悉在金融科技领域，福田区打出系列“组合拳”，推出“七个首创”，即：在全国范围内出台首个地方政府金融科技专项政策、首个金融科技专项人才奖励条款、发布首个反映金融科技产业发展的股票指数“香蜜湖金融科技指数”，设立首个金融科技专项奖“香蜜湖金融科技创新奖”，举办首个金融科技特色的人才活动“湾区（深圳）金融科技人才季”，组建首个金融科技智囊团“金融科技专家咨询委员会”，打造《粤港澳大湾区发展规划纲要》发布后首个金融科技空间载体“湾区国际金融科技城”。</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Cs w:val="32"/>
        </w:rPr>
      </w:pPr>
      <w:r>
        <w:rPr>
          <w:rFonts w:hint="eastAsia" w:ascii="仿宋_GB2312" w:hAnsi="仿宋_GB2312" w:cstheme="minorBidi"/>
          <w:b/>
          <w:bCs/>
          <w:color w:val="auto"/>
          <w:szCs w:val="22"/>
          <w:lang w:eastAsia="zh-CN"/>
        </w:rPr>
        <w:t>3</w:t>
      </w:r>
      <w:r>
        <w:rPr>
          <w:rFonts w:hint="eastAsia"/>
          <w:b/>
          <w:bCs/>
          <w:color w:val="auto"/>
          <w:lang w:val="en-US" w:eastAsia="zh-CN"/>
        </w:rPr>
        <w:t>.</w:t>
      </w:r>
      <w:r>
        <w:rPr>
          <w:rFonts w:hint="eastAsia"/>
          <w:b/>
          <w:bCs/>
          <w:color w:val="auto"/>
          <w:lang w:eastAsia="zh-CN"/>
        </w:rPr>
        <w:t>支持金融</w:t>
      </w:r>
      <w:r>
        <w:rPr>
          <w:rFonts w:hint="eastAsia"/>
          <w:b/>
          <w:bCs/>
          <w:color w:val="auto"/>
        </w:rPr>
        <w:t>信创产业及攻关基地发展</w:t>
      </w:r>
      <w:bookmarkEnd w:id="26"/>
      <w:r>
        <w:rPr>
          <w:rFonts w:hint="eastAsia"/>
          <w:b/>
          <w:bCs/>
          <w:color w:val="auto"/>
          <w:lang w:eastAsia="zh-CN"/>
        </w:rPr>
        <w:t>。</w:t>
      </w:r>
      <w:bookmarkStart w:id="27" w:name="_Hlk70352033"/>
      <w:r>
        <w:rPr>
          <w:rFonts w:hint="eastAsia" w:ascii="Times New Roman" w:hAnsi="Times New Roman" w:cs="Times New Roman"/>
          <w:color w:val="auto"/>
          <w:szCs w:val="32"/>
          <w:lang w:eastAsia="zh-CN"/>
        </w:rPr>
        <w:t>进一步发挥深圳市金融业信息技术应用创新攻关基地功能，带动集聚一批优质信创企业，鼓励开展</w:t>
      </w:r>
      <w:r>
        <w:rPr>
          <w:rFonts w:hint="eastAsia"/>
          <w:lang w:eastAsia="zh-CN"/>
        </w:rPr>
        <w:t>协同技术攻关，</w:t>
      </w:r>
      <w:r>
        <w:rPr>
          <w:rFonts w:hint="eastAsia"/>
          <w:color w:val="auto"/>
          <w:lang w:eastAsia="zh-CN"/>
        </w:rPr>
        <w:t>探索建立行业标准与规范，引导提供更多满足金融业需求的信息技术解决方案。</w:t>
      </w:r>
      <w:r>
        <w:rPr>
          <w:rFonts w:hint="eastAsia" w:ascii="Times New Roman" w:hAnsi="Times New Roman" w:cs="Times New Roman"/>
          <w:color w:val="auto"/>
          <w:szCs w:val="32"/>
          <w:lang w:eastAsia="zh-CN"/>
        </w:rPr>
        <w:t>支持组建市场化的</w:t>
      </w:r>
      <w:r>
        <w:rPr>
          <w:rFonts w:hint="default" w:ascii="Times New Roman" w:hAnsi="Times New Roman" w:cs="Times New Roman"/>
          <w:color w:val="auto"/>
          <w:szCs w:val="32"/>
        </w:rPr>
        <w:t>信创发展基金，</w:t>
      </w:r>
      <w:r>
        <w:rPr>
          <w:rFonts w:hint="eastAsia" w:ascii="Times New Roman" w:hAnsi="Times New Roman" w:cs="Times New Roman"/>
          <w:color w:val="auto"/>
          <w:szCs w:val="32"/>
          <w:lang w:eastAsia="zh-CN"/>
        </w:rPr>
        <w:t>鼓励</w:t>
      </w:r>
      <w:r>
        <w:rPr>
          <w:rFonts w:hint="default" w:ascii="Times New Roman" w:hAnsi="Times New Roman" w:cs="Times New Roman"/>
          <w:color w:val="auto"/>
          <w:szCs w:val="32"/>
        </w:rPr>
        <w:t>社会资本投向信创</w:t>
      </w:r>
      <w:r>
        <w:rPr>
          <w:rFonts w:hint="eastAsia" w:ascii="Times New Roman" w:hAnsi="Times New Roman" w:cs="Times New Roman"/>
          <w:color w:val="auto"/>
          <w:szCs w:val="32"/>
          <w:lang w:eastAsia="zh-CN"/>
        </w:rPr>
        <w:t>产业的关键环节</w:t>
      </w:r>
      <w:r>
        <w:rPr>
          <w:rFonts w:hint="default" w:ascii="Times New Roman" w:hAnsi="Times New Roman" w:cs="Times New Roman"/>
          <w:color w:val="auto"/>
          <w:szCs w:val="32"/>
        </w:rPr>
        <w:t>，</w:t>
      </w:r>
      <w:r>
        <w:rPr>
          <w:rFonts w:hint="eastAsia" w:ascii="Times New Roman" w:hAnsi="Times New Roman" w:cs="Times New Roman"/>
          <w:color w:val="auto"/>
          <w:szCs w:val="32"/>
          <w:lang w:eastAsia="zh-CN"/>
        </w:rPr>
        <w:t>加快芯片、数据库、基础软件、应用软件等领域国产化进程，不断健全金融信创全产业链配套供给体系</w:t>
      </w:r>
      <w:r>
        <w:rPr>
          <w:rFonts w:hint="default" w:ascii="Times New Roman" w:hAnsi="Times New Roman" w:cs="Times New Roman"/>
          <w:color w:val="auto"/>
          <w:szCs w:val="32"/>
        </w:rPr>
        <w:t>。</w:t>
      </w:r>
      <w:bookmarkEnd w:id="27"/>
    </w:p>
    <w:p>
      <w:pPr>
        <w:pStyle w:val="2"/>
        <w:keepNext w:val="0"/>
        <w:keepLines w:val="0"/>
        <w:pageBreakBefore w:val="0"/>
        <w:widowControl w:val="0"/>
        <w:kinsoku/>
        <w:wordWrap/>
        <w:overflowPunct/>
        <w:topLinePunct w:val="0"/>
        <w:autoSpaceDE/>
        <w:autoSpaceDN/>
        <w:bidi w:val="0"/>
        <w:adjustRightInd/>
        <w:snapToGrid/>
        <w:textAlignment w:val="baseline"/>
        <w:rPr>
          <w:rFonts w:hint="default"/>
        </w:rPr>
      </w:pPr>
    </w:p>
    <w:tbl>
      <w:tblPr>
        <w:tblStyle w:val="15"/>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8159" w:type="dxa"/>
            <w:tcMar>
              <w:top w:w="57" w:type="dxa"/>
              <w:left w:w="170" w:type="dxa"/>
              <w:bottom w:w="57" w:type="dxa"/>
              <w:right w:w="170" w:type="dxa"/>
            </w:tcMar>
            <w:vAlign w:val="top"/>
          </w:tcPr>
          <w:p>
            <w:pPr>
              <w:pStyle w:val="2"/>
              <w:keepNext w:val="0"/>
              <w:keepLines w:val="0"/>
              <w:pageBreakBefore w:val="0"/>
              <w:widowControl w:val="0"/>
              <w:kinsoku/>
              <w:wordWrap/>
              <w:overflowPunct/>
              <w:topLinePunct w:val="0"/>
              <w:autoSpaceDE/>
              <w:autoSpaceDN/>
              <w:bidi w:val="0"/>
              <w:adjustRightInd/>
              <w:snapToGrid w:val="0"/>
              <w:spacing w:before="219" w:beforeLines="50" w:after="110" w:afterLines="25" w:line="440" w:lineRule="exact"/>
              <w:ind w:left="0" w:leftChars="0" w:firstLine="0" w:firstLineChars="0"/>
              <w:jc w:val="both"/>
              <w:textAlignment w:val="baseline"/>
              <w:rPr>
                <w:rFonts w:hint="eastAsia"/>
                <w:sz w:val="28"/>
                <w:szCs w:val="21"/>
                <w:lang w:val="en-US" w:eastAsia="zh-CN"/>
              </w:rPr>
            </w:pPr>
            <w:r>
              <w:rPr>
                <w:rFonts w:hint="eastAsia"/>
                <w:b/>
                <w:bCs/>
                <w:sz w:val="28"/>
                <w:szCs w:val="21"/>
                <w:lang w:val="en-US" w:eastAsia="zh-CN"/>
              </w:rPr>
              <w:t>专栏2：深圳市金融业信息技术应用创新攻关基地</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ascii="楷体_GB2312" w:hAnsi="楷体_GB2312" w:eastAsia="楷体_GB2312" w:cs="楷体_GB2312"/>
                <w:sz w:val="28"/>
                <w:szCs w:val="21"/>
                <w:lang w:val="en-US" w:eastAsia="zh-CN"/>
              </w:rPr>
            </w:pPr>
            <w:r>
              <w:rPr>
                <w:rFonts w:hint="eastAsia" w:ascii="楷体_GB2312" w:hAnsi="楷体_GB2312" w:eastAsia="楷体_GB2312" w:cs="楷体_GB2312"/>
                <w:spacing w:val="-6"/>
                <w:sz w:val="28"/>
                <w:szCs w:val="21"/>
                <w:lang w:val="en-US" w:eastAsia="zh-CN"/>
              </w:rPr>
              <w:t>2020年7月28日，“深圳·进而有为华为云与计算城市峰会2020”举办。峰会期间，深圳市发改委与华为共同签署了“新基建”战略合作协议，未来将在5G、云计算等重大科技基础设施进行深入合作，加快深圳在数字化、网络化、智能化与经济社会发展深度融合。同时</w:t>
            </w:r>
            <w:r>
              <w:rPr>
                <w:rFonts w:hint="eastAsia" w:ascii="楷体_GB2312" w:hAnsi="楷体_GB2312" w:eastAsia="楷体_GB2312" w:cs="楷体_GB2312"/>
                <w:sz w:val="28"/>
                <w:szCs w:val="21"/>
                <w:lang w:val="en-US" w:eastAsia="zh-CN"/>
              </w:rPr>
              <w:t>，深圳市金融业信息技术应用创新攻关基地正式揭牌，在南山区深圳湾科技生态园启动运营，南山区安排1亿元资金分5年专项支持金融信创攻关基地建设。</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ascii="楷体_GB2312" w:hAnsi="楷体_GB2312" w:eastAsia="楷体_GB2312" w:cs="楷体_GB2312"/>
                <w:sz w:val="28"/>
                <w:szCs w:val="21"/>
                <w:lang w:val="en-US" w:eastAsia="zh-CN"/>
              </w:rPr>
            </w:pPr>
            <w:r>
              <w:rPr>
                <w:rFonts w:hint="eastAsia" w:ascii="楷体_GB2312" w:hAnsi="楷体_GB2312" w:eastAsia="楷体_GB2312" w:cs="楷体_GB2312"/>
                <w:sz w:val="28"/>
                <w:szCs w:val="21"/>
                <w:lang w:val="en-US" w:eastAsia="zh-CN"/>
              </w:rPr>
              <w:t>业界认为，一直以来深圳市金融科技创新企业密集，金融科技生态良好，技术创新、场景应用等能力处于领先地位。金融信创攻关基地作为深圳鲲鹏产业发展载体中的重要组成，主要面向银行、保险、证券、第三方支付业务场景中的办公管理系统、一般应用与核心应用系统进行技术攻关与适配，以实现应用系统基础设施的国产化替代，将进一步推进金融业关键信息基础设施建设的攻关和创新，推动建立行业标准与规范，打造一系列满足金融行业需求的信息技术解决方案。同时，也将加速鲲鹏产业生态人才培养，助力粤港澳大湾区建成金融科技创新高地。</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lang w:val="en-US" w:eastAsia="zh-CN"/>
              </w:rPr>
            </w:pPr>
            <w:r>
              <w:rPr>
                <w:rFonts w:hint="eastAsia" w:ascii="楷体_GB2312" w:hAnsi="楷体_GB2312" w:eastAsia="楷体_GB2312" w:cs="楷体_GB2312"/>
                <w:sz w:val="28"/>
                <w:szCs w:val="21"/>
                <w:lang w:val="en-US" w:eastAsia="zh-CN"/>
              </w:rPr>
              <w:t>金融信创攻关基地自启动以来，已对接金融机构、金融行业ISV共计50余家；通过评审遴选课题共计79个，截至2022年7月已完成课题攻关23个，成功举办6期11个班次人才培养课程（参训单位超30家、参训学员达163人）；预计2022年底将有6000+台鲲鹏底座上线支撑金融XC国产化替代。</w:t>
            </w:r>
          </w:p>
        </w:tc>
      </w:tr>
    </w:tbl>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color w:val="auto"/>
        </w:rPr>
      </w:pPr>
      <w:r>
        <w:rPr>
          <w:rFonts w:hint="eastAsia"/>
          <w:b/>
          <w:bCs/>
          <w:color w:val="auto"/>
          <w:lang w:val="en-US" w:eastAsia="zh-CN"/>
        </w:rPr>
        <w:t>4</w:t>
      </w:r>
      <w:r>
        <w:rPr>
          <w:rFonts w:hint="default"/>
          <w:b/>
          <w:bCs/>
          <w:color w:val="auto"/>
          <w:lang w:val="en-US" w:eastAsia="zh-CN"/>
        </w:rPr>
        <w:t>.</w:t>
      </w:r>
      <w:r>
        <w:rPr>
          <w:rFonts w:hint="eastAsia"/>
          <w:b/>
          <w:bCs/>
          <w:color w:val="auto"/>
          <w:lang w:val="en-US" w:eastAsia="zh-CN"/>
        </w:rPr>
        <w:t>支持金融机构加强数字化转型布局。</w:t>
      </w:r>
      <w:r>
        <w:rPr>
          <w:rFonts w:hint="eastAsia"/>
          <w:b w:val="0"/>
          <w:bCs w:val="0"/>
          <w:color w:val="auto"/>
          <w:lang w:val="en-US" w:eastAsia="zh-CN"/>
        </w:rPr>
        <w:t>支持金融机构制定全方位数字化转型战略，有序实践基于数据资产和数字化技术的金融创新，增强个性化、差异化、定制化产品和服务开发能力，加快金融服务智慧再造，提高服务实体经济质效。</w:t>
      </w:r>
      <w:r>
        <w:rPr>
          <w:rFonts w:hint="eastAsia"/>
          <w:color w:val="auto"/>
          <w:lang w:eastAsia="zh-CN"/>
        </w:rPr>
        <w:t>鼓励</w:t>
      </w:r>
      <w:r>
        <w:rPr>
          <w:rFonts w:hint="default"/>
          <w:color w:val="auto"/>
        </w:rPr>
        <w:t>小额贷款、融资担保、商业保理、融资租赁等地方金融</w:t>
      </w:r>
      <w:r>
        <w:rPr>
          <w:rFonts w:hint="eastAsia"/>
          <w:color w:val="auto"/>
          <w:lang w:eastAsia="zh-CN"/>
        </w:rPr>
        <w:t>组织积极</w:t>
      </w:r>
      <w:r>
        <w:rPr>
          <w:rFonts w:hint="default"/>
          <w:color w:val="auto"/>
        </w:rPr>
        <w:t>对接科技资源</w:t>
      </w:r>
      <w:r>
        <w:rPr>
          <w:rFonts w:hint="eastAsia"/>
          <w:color w:val="auto"/>
          <w:lang w:eastAsia="zh-CN"/>
        </w:rPr>
        <w:t>，结合业务特点，从实际需求出发，加强金融科技赋能，</w:t>
      </w:r>
      <w:r>
        <w:rPr>
          <w:rFonts w:hint="default"/>
          <w:color w:val="auto"/>
        </w:rPr>
        <w:t>提升数字化经营能力。</w:t>
      </w:r>
    </w:p>
    <w:p>
      <w:pPr>
        <w:pStyle w:val="4"/>
        <w:pageBreakBefore w:val="0"/>
        <w:widowControl w:val="0"/>
        <w:kinsoku/>
        <w:wordWrap/>
        <w:overflowPunct/>
        <w:topLinePunct w:val="0"/>
        <w:autoSpaceDE/>
        <w:autoSpaceDN/>
        <w:bidi w:val="0"/>
        <w:adjustRightInd/>
        <w:snapToGrid/>
        <w:spacing w:line="560" w:lineRule="exact"/>
        <w:textAlignment w:val="auto"/>
        <w:rPr>
          <w:rFonts w:hint="default"/>
          <w:color w:val="auto"/>
          <w:lang w:eastAsia="zh-CN"/>
        </w:rPr>
      </w:pPr>
      <w:bookmarkStart w:id="28" w:name="_Toc1121591465"/>
      <w:r>
        <w:rPr>
          <w:rFonts w:hint="eastAsia"/>
          <w:color w:val="auto"/>
          <w:lang w:eastAsia="zh-CN"/>
        </w:rPr>
        <w:t>（</w:t>
      </w:r>
      <w:r>
        <w:rPr>
          <w:rFonts w:hint="eastAsia"/>
          <w:color w:val="auto"/>
          <w:lang w:val="en-US" w:eastAsia="zh-CN"/>
        </w:rPr>
        <w:t>二</w:t>
      </w:r>
      <w:r>
        <w:rPr>
          <w:rFonts w:hint="eastAsia"/>
          <w:color w:val="auto"/>
          <w:lang w:eastAsia="zh-CN"/>
        </w:rPr>
        <w:t>）</w:t>
      </w:r>
      <w:r>
        <w:rPr>
          <w:rFonts w:hint="default"/>
          <w:color w:val="auto"/>
          <w:lang w:eastAsia="zh-CN"/>
        </w:rPr>
        <w:t>促进金融科技特色应用集中涌现</w:t>
      </w:r>
      <w:bookmarkEnd w:id="28"/>
    </w:p>
    <w:p>
      <w:pPr>
        <w:pageBreakBefore w:val="0"/>
        <w:widowControl w:val="0"/>
        <w:kinsoku/>
        <w:wordWrap/>
        <w:overflowPunct/>
        <w:topLinePunct w:val="0"/>
        <w:autoSpaceDE/>
        <w:autoSpaceDN/>
        <w:bidi w:val="0"/>
        <w:adjustRightInd/>
        <w:snapToGrid/>
        <w:spacing w:line="560" w:lineRule="exact"/>
        <w:ind w:firstLine="643" w:firstLineChars="0"/>
        <w:textAlignment w:val="auto"/>
        <w:rPr>
          <w:rFonts w:hint="default" w:ascii="Times New Roman" w:hAnsi="Times New Roman" w:eastAsia="仿宋_GB2312" w:cs="Times New Roman"/>
          <w:color w:val="auto"/>
          <w:szCs w:val="32"/>
          <w:lang w:val="en-US" w:eastAsia="zh-CN"/>
        </w:rPr>
      </w:pPr>
      <w:r>
        <w:rPr>
          <w:rFonts w:hint="eastAsia"/>
          <w:b/>
          <w:bCs/>
          <w:color w:val="auto"/>
          <w:lang w:val="en-US" w:eastAsia="zh-CN"/>
        </w:rPr>
        <w:t>1.</w:t>
      </w:r>
      <w:r>
        <w:rPr>
          <w:rFonts w:hint="default"/>
          <w:b/>
          <w:bCs/>
          <w:color w:val="auto"/>
          <w:lang w:val="en-US" w:eastAsia="zh-CN"/>
        </w:rPr>
        <w:t>深化</w:t>
      </w:r>
      <w:r>
        <w:rPr>
          <w:rFonts w:hint="default" w:ascii="Times New Roman" w:hAnsi="Times New Roman" w:cs="Times New Roman"/>
          <w:b/>
          <w:bCs/>
          <w:color w:val="auto"/>
          <w:szCs w:val="32"/>
        </w:rPr>
        <w:t>普惠金融科技创新应用。</w:t>
      </w:r>
      <w:r>
        <w:rPr>
          <w:rFonts w:hint="eastAsia" w:ascii="Times New Roman" w:hAnsi="Times New Roman" w:cs="Times New Roman"/>
          <w:color w:val="auto"/>
          <w:szCs w:val="32"/>
          <w:lang w:val="en-US" w:eastAsia="zh-CN"/>
        </w:rPr>
        <w:t>支持金融机构</w:t>
      </w:r>
      <w:r>
        <w:rPr>
          <w:rFonts w:hint="default" w:ascii="Times New Roman" w:hAnsi="Times New Roman" w:cs="Times New Roman"/>
          <w:color w:val="auto"/>
          <w:szCs w:val="32"/>
        </w:rPr>
        <w:t>通过大数据</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lang w:val="en-US" w:eastAsia="zh-CN"/>
        </w:rPr>
        <w:t>人工智能等</w:t>
      </w:r>
      <w:r>
        <w:rPr>
          <w:rFonts w:hint="default" w:ascii="Times New Roman" w:hAnsi="Times New Roman" w:cs="Times New Roman"/>
          <w:color w:val="auto"/>
          <w:szCs w:val="32"/>
        </w:rPr>
        <w:t>技术，</w:t>
      </w:r>
      <w:r>
        <w:rPr>
          <w:rFonts w:hint="eastAsia" w:ascii="Times New Roman" w:hAnsi="Times New Roman" w:cs="Times New Roman"/>
          <w:color w:val="auto"/>
          <w:szCs w:val="32"/>
          <w:lang w:val="en-US" w:eastAsia="zh-CN"/>
        </w:rPr>
        <w:t>加强放贷</w:t>
      </w:r>
      <w:r>
        <w:rPr>
          <w:rFonts w:hint="default" w:ascii="Times New Roman" w:hAnsi="Times New Roman" w:cs="Times New Roman"/>
          <w:color w:val="auto"/>
          <w:szCs w:val="32"/>
        </w:rPr>
        <w:t>审批、风控等融资全流程的数字化</w:t>
      </w:r>
      <w:r>
        <w:rPr>
          <w:rFonts w:hint="eastAsia" w:ascii="Times New Roman" w:hAnsi="Times New Roman" w:cs="Times New Roman"/>
          <w:color w:val="auto"/>
          <w:szCs w:val="32"/>
          <w:lang w:val="en-US" w:eastAsia="zh-CN"/>
        </w:rPr>
        <w:t>赋能</w:t>
      </w:r>
      <w:r>
        <w:rPr>
          <w:rFonts w:hint="default" w:ascii="Times New Roman" w:hAnsi="Times New Roman" w:cs="Times New Roman"/>
          <w:color w:val="auto"/>
          <w:szCs w:val="32"/>
        </w:rPr>
        <w:t>，</w:t>
      </w:r>
      <w:r>
        <w:rPr>
          <w:rFonts w:hint="eastAsia" w:ascii="Times New Roman" w:hAnsi="Times New Roman" w:cs="Times New Roman"/>
          <w:color w:val="auto"/>
          <w:szCs w:val="32"/>
          <w:lang w:val="en-US" w:eastAsia="zh-CN"/>
        </w:rPr>
        <w:t>综合运用企业、政务、金融等各类数据提高全面评估、精准画像水平，</w:t>
      </w:r>
      <w:r>
        <w:rPr>
          <w:rFonts w:hint="default" w:ascii="Times New Roman" w:hAnsi="Times New Roman" w:cs="Times New Roman"/>
          <w:color w:val="auto"/>
          <w:szCs w:val="32"/>
        </w:rPr>
        <w:t>减少对抵押物的依赖，</w:t>
      </w:r>
      <w:r>
        <w:rPr>
          <w:rFonts w:hint="eastAsia" w:ascii="Times New Roman" w:hAnsi="Times New Roman" w:cs="Times New Roman"/>
          <w:color w:val="auto"/>
          <w:szCs w:val="32"/>
          <w:lang w:val="en-US" w:eastAsia="zh-CN"/>
        </w:rPr>
        <w:t>缓解银企间信息不对称问题，更好</w:t>
      </w:r>
      <w:r>
        <w:rPr>
          <w:rFonts w:hint="default" w:ascii="Times New Roman" w:hAnsi="Times New Roman" w:cs="Times New Roman"/>
          <w:color w:val="auto"/>
          <w:szCs w:val="32"/>
        </w:rPr>
        <w:t>满足小微企业“少、频、急”的融资需求。</w:t>
      </w:r>
      <w:r>
        <w:rPr>
          <w:rFonts w:hint="eastAsia" w:ascii="Times New Roman" w:hAnsi="Times New Roman" w:cs="Times New Roman"/>
          <w:color w:val="auto"/>
          <w:szCs w:val="32"/>
          <w:lang w:val="en-US" w:eastAsia="zh-CN"/>
        </w:rPr>
        <w:t>进一步发挥深圳市创业创新金融服务平台、各区金融超市等作用，线上线下相结合，提供更多与企业需求适配的精细化、定制化数字金融服务产品。支持在供应链金融、</w:t>
      </w:r>
      <w:r>
        <w:rPr>
          <w:rFonts w:hint="default" w:ascii="Times New Roman" w:hAnsi="Times New Roman" w:cs="Times New Roman"/>
          <w:color w:val="auto"/>
          <w:szCs w:val="32"/>
        </w:rPr>
        <w:t>融资租赁</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lang w:val="en-US" w:eastAsia="zh-CN"/>
        </w:rPr>
        <w:t>履约保险等细分领域加强数字化场景应用，满足中小微企业扩大再生产、重大设备融资、项目风险分担等多样化需求。</w:t>
      </w:r>
    </w:p>
    <w:p>
      <w:pPr>
        <w:pageBreakBefore w:val="0"/>
        <w:widowControl w:val="0"/>
        <w:kinsoku/>
        <w:wordWrap/>
        <w:overflowPunct/>
        <w:topLinePunct w:val="0"/>
        <w:autoSpaceDE/>
        <w:autoSpaceDN/>
        <w:bidi w:val="0"/>
        <w:adjustRightInd/>
        <w:snapToGrid/>
        <w:spacing w:line="560" w:lineRule="exact"/>
        <w:ind w:firstLine="643" w:firstLineChars="0"/>
        <w:textAlignment w:val="auto"/>
        <w:rPr>
          <w:rFonts w:hint="default" w:ascii="Times New Roman" w:hAnsi="Times New Roman" w:cs="Times New Roman"/>
          <w:b w:val="0"/>
          <w:bCs w:val="0"/>
          <w:color w:val="auto"/>
          <w:szCs w:val="32"/>
          <w:lang w:val="en-US" w:eastAsia="zh-CN"/>
        </w:rPr>
      </w:pPr>
      <w:r>
        <w:rPr>
          <w:rFonts w:hint="eastAsia"/>
          <w:b/>
          <w:bCs/>
          <w:color w:val="auto"/>
          <w:lang w:val="en-US" w:eastAsia="zh-CN"/>
        </w:rPr>
        <w:t>2.</w:t>
      </w:r>
      <w:r>
        <w:rPr>
          <w:rFonts w:hint="eastAsia" w:ascii="Times New Roman" w:hAnsi="Times New Roman" w:cs="Times New Roman"/>
          <w:b/>
          <w:bCs/>
          <w:color w:val="auto"/>
          <w:szCs w:val="32"/>
          <w:lang w:val="en-US" w:eastAsia="zh-CN"/>
        </w:rPr>
        <w:t>促进</w:t>
      </w:r>
      <w:r>
        <w:rPr>
          <w:rFonts w:hint="default" w:ascii="Times New Roman" w:hAnsi="Times New Roman" w:cs="Times New Roman"/>
          <w:b/>
          <w:bCs/>
          <w:color w:val="auto"/>
          <w:szCs w:val="32"/>
          <w:lang w:val="en-US" w:eastAsia="zh-CN"/>
        </w:rPr>
        <w:t>民生金融科技探索突破</w:t>
      </w:r>
      <w:r>
        <w:rPr>
          <w:rFonts w:hint="default" w:ascii="Times New Roman" w:hAnsi="Times New Roman" w:cs="Times New Roman"/>
          <w:b/>
          <w:bCs/>
          <w:color w:val="auto"/>
          <w:szCs w:val="32"/>
        </w:rPr>
        <w:t>。</w:t>
      </w:r>
      <w:r>
        <w:rPr>
          <w:rFonts w:hint="eastAsia" w:ascii="Times New Roman" w:hAnsi="Times New Roman" w:cs="Times New Roman"/>
          <w:b w:val="0"/>
          <w:bCs w:val="0"/>
          <w:color w:val="auto"/>
          <w:szCs w:val="32"/>
          <w:lang w:val="en-US" w:eastAsia="zh-CN"/>
        </w:rPr>
        <w:t>支持结合社区日常生活场景，利用物联网、移动通信等技术手段，融合教育、医疗、交通、社保、</w:t>
      </w:r>
      <w:r>
        <w:rPr>
          <w:rFonts w:hint="default" w:ascii="Times New Roman" w:hAnsi="Times New Roman" w:cs="Times New Roman"/>
          <w:color w:val="auto"/>
          <w:szCs w:val="32"/>
        </w:rPr>
        <w:t>非税缴费</w:t>
      </w:r>
      <w:r>
        <w:rPr>
          <w:rFonts w:hint="eastAsia" w:ascii="Times New Roman" w:hAnsi="Times New Roman" w:cs="Times New Roman"/>
          <w:b w:val="0"/>
          <w:bCs w:val="0"/>
          <w:color w:val="auto"/>
          <w:szCs w:val="32"/>
          <w:lang w:val="en-US" w:eastAsia="zh-CN"/>
        </w:rPr>
        <w:t>等金融需求，打造“一点多能、一网多用”的综合金融服务平台。鼓励发挥人工智能等技术优势，为行动不便、偏远地区、特殊人群等提供定制化或远程服务，开发无障碍数字化金融产品，让更多群众共享金融科技发展成果。支持金融机构顺应趋势，加强资产管理、财富管理等重点民生金融服务领域的数字化建设，依法合规发展智能投顾、智能投研、智能投行等业务，更好满足居民财富保值增值需求。</w:t>
      </w:r>
    </w:p>
    <w:p>
      <w:pPr>
        <w:pageBreakBefore w:val="0"/>
        <w:widowControl w:val="0"/>
        <w:kinsoku/>
        <w:wordWrap/>
        <w:overflowPunct/>
        <w:topLinePunct w:val="0"/>
        <w:autoSpaceDE/>
        <w:autoSpaceDN/>
        <w:bidi w:val="0"/>
        <w:adjustRightInd/>
        <w:snapToGrid/>
        <w:spacing w:line="560" w:lineRule="exact"/>
        <w:ind w:firstLine="643" w:firstLineChars="0"/>
        <w:textAlignment w:val="auto"/>
        <w:rPr>
          <w:rFonts w:hint="default" w:ascii="Times New Roman" w:hAnsi="Times New Roman" w:eastAsia="仿宋_GB2312" w:cs="Times New Roman"/>
          <w:color w:val="auto"/>
          <w:szCs w:val="32"/>
          <w:lang w:val="en-US" w:eastAsia="zh-CN"/>
        </w:rPr>
      </w:pPr>
      <w:r>
        <w:rPr>
          <w:rFonts w:hint="eastAsia"/>
          <w:b/>
          <w:bCs/>
          <w:color w:val="auto"/>
          <w:lang w:val="en-US" w:eastAsia="zh-CN"/>
        </w:rPr>
        <w:t>3.</w:t>
      </w:r>
      <w:r>
        <w:rPr>
          <w:rFonts w:hint="default"/>
          <w:b/>
          <w:bCs/>
          <w:color w:val="auto"/>
          <w:lang w:val="en-US" w:eastAsia="zh-CN"/>
        </w:rPr>
        <w:t>扩</w:t>
      </w:r>
      <w:r>
        <w:rPr>
          <w:rFonts w:hint="default" w:ascii="Times New Roman" w:hAnsi="Times New Roman" w:cs="Times New Roman"/>
          <w:b/>
          <w:bCs/>
          <w:color w:val="auto"/>
          <w:szCs w:val="32"/>
        </w:rPr>
        <w:t>大绿色金融科技应用范围</w:t>
      </w:r>
      <w:r>
        <w:rPr>
          <w:rFonts w:hint="default" w:ascii="Times New Roman" w:hAnsi="Times New Roman" w:cs="Times New Roman"/>
          <w:color w:val="auto"/>
          <w:szCs w:val="32"/>
        </w:rPr>
        <w:t>。鼓励运用金融科技手段健全绿色金融体系。</w:t>
      </w:r>
      <w:r>
        <w:rPr>
          <w:rFonts w:hint="eastAsia" w:ascii="Times New Roman" w:hAnsi="Times New Roman" w:cs="Times New Roman"/>
          <w:color w:val="auto"/>
          <w:szCs w:val="32"/>
          <w:lang w:val="en-US" w:eastAsia="zh-CN"/>
        </w:rPr>
        <w:t>支持</w:t>
      </w:r>
      <w:r>
        <w:rPr>
          <w:rFonts w:hint="default" w:ascii="Times New Roman" w:hAnsi="Times New Roman" w:cs="Times New Roman"/>
          <w:color w:val="auto"/>
          <w:szCs w:val="32"/>
        </w:rPr>
        <w:t>深圳证券交易所、排放权交易所、</w:t>
      </w:r>
      <w:r>
        <w:rPr>
          <w:rFonts w:hint="eastAsia" w:ascii="Times New Roman" w:hAnsi="Times New Roman" w:cs="Times New Roman"/>
          <w:color w:val="auto"/>
          <w:szCs w:val="32"/>
          <w:lang w:val="en-US" w:eastAsia="zh-CN"/>
        </w:rPr>
        <w:t>金融机构、</w:t>
      </w:r>
      <w:r>
        <w:rPr>
          <w:rFonts w:hint="default" w:ascii="Times New Roman" w:hAnsi="Times New Roman" w:cs="Times New Roman"/>
          <w:color w:val="auto"/>
          <w:szCs w:val="32"/>
        </w:rPr>
        <w:t>碳资产管理公司、第三方认证机构</w:t>
      </w:r>
      <w:r>
        <w:rPr>
          <w:rFonts w:hint="eastAsia" w:ascii="Times New Roman" w:hAnsi="Times New Roman" w:cs="Times New Roman"/>
          <w:color w:val="auto"/>
          <w:szCs w:val="32"/>
          <w:lang w:val="en-US" w:eastAsia="zh-CN"/>
        </w:rPr>
        <w:t>等</w:t>
      </w:r>
      <w:r>
        <w:rPr>
          <w:rFonts w:hint="default" w:ascii="Times New Roman" w:hAnsi="Times New Roman" w:cs="Times New Roman"/>
          <w:color w:val="auto"/>
          <w:szCs w:val="32"/>
        </w:rPr>
        <w:t>优化升级绿色金融全流程服务体系</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lang w:val="en-US" w:eastAsia="zh-CN"/>
        </w:rPr>
        <w:t>在依法合规、风险可控前提下，为企业提供绿色债券、绿色信贷、绿色保险、碳金融等多元化产品</w:t>
      </w:r>
      <w:r>
        <w:rPr>
          <w:rFonts w:hint="default" w:ascii="Times New Roman" w:hAnsi="Times New Roman" w:cs="Times New Roman"/>
          <w:color w:val="auto"/>
          <w:szCs w:val="32"/>
        </w:rPr>
        <w:t>。</w:t>
      </w:r>
      <w:r>
        <w:rPr>
          <w:rFonts w:hint="eastAsia" w:ascii="Times New Roman" w:hAnsi="Times New Roman" w:cs="Times New Roman"/>
          <w:color w:val="auto"/>
          <w:szCs w:val="32"/>
          <w:lang w:val="en-US" w:eastAsia="zh-CN"/>
        </w:rPr>
        <w:t>支持</w:t>
      </w:r>
      <w:r>
        <w:rPr>
          <w:rFonts w:hint="default" w:ascii="Times New Roman" w:hAnsi="Times New Roman" w:cs="Times New Roman"/>
          <w:color w:val="auto"/>
          <w:szCs w:val="32"/>
        </w:rPr>
        <w:t>建立基于区块链和智能合约技术的绿色资产开发、绿色金融信息披露</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绿色债券审核及交易平台。</w:t>
      </w:r>
      <w:r>
        <w:rPr>
          <w:rFonts w:hint="eastAsia" w:ascii="Times New Roman" w:hAnsi="Times New Roman" w:cs="Times New Roman"/>
          <w:color w:val="auto"/>
          <w:szCs w:val="32"/>
          <w:lang w:val="en-US" w:eastAsia="zh-CN"/>
        </w:rPr>
        <w:t>鼓励利用大数据、人工智能等技术建立绿色信息监测与分析模型，量化环境效益和转型风险，提升绿色金融风险管理能力。</w:t>
      </w:r>
    </w:p>
    <w:p>
      <w:pPr>
        <w:pageBreakBefore w:val="0"/>
        <w:widowControl w:val="0"/>
        <w:kinsoku/>
        <w:wordWrap/>
        <w:overflowPunct/>
        <w:topLinePunct w:val="0"/>
        <w:autoSpaceDE/>
        <w:autoSpaceDN/>
        <w:bidi w:val="0"/>
        <w:adjustRightInd/>
        <w:snapToGrid/>
        <w:spacing w:line="560" w:lineRule="exact"/>
        <w:ind w:firstLine="643" w:firstLineChars="0"/>
        <w:textAlignment w:val="auto"/>
        <w:rPr>
          <w:rFonts w:hint="default" w:ascii="Times New Roman" w:hAnsi="Times New Roman" w:cs="Times New Roman"/>
          <w:color w:val="auto"/>
          <w:szCs w:val="32"/>
          <w:lang w:val="en-US" w:eastAsia="zh-CN"/>
        </w:rPr>
      </w:pPr>
      <w:r>
        <w:rPr>
          <w:rFonts w:hint="eastAsia"/>
          <w:b/>
          <w:bCs/>
          <w:color w:val="auto"/>
          <w:lang w:val="en-US" w:eastAsia="zh-CN"/>
        </w:rPr>
        <w:t>4.推动</w:t>
      </w:r>
      <w:r>
        <w:rPr>
          <w:rFonts w:hint="default" w:ascii="Times New Roman" w:hAnsi="Times New Roman" w:cs="Times New Roman"/>
          <w:b/>
          <w:bCs/>
          <w:color w:val="auto"/>
          <w:szCs w:val="32"/>
        </w:rPr>
        <w:t>跨境金融科技深化应用</w:t>
      </w:r>
      <w:r>
        <w:rPr>
          <w:rFonts w:hint="default" w:ascii="Times New Roman" w:hAnsi="Times New Roman" w:cs="Times New Roman"/>
          <w:color w:val="auto"/>
          <w:szCs w:val="32"/>
        </w:rPr>
        <w:t>。</w:t>
      </w:r>
      <w:r>
        <w:rPr>
          <w:rFonts w:hint="eastAsia" w:ascii="Times New Roman" w:hAnsi="Times New Roman" w:cs="Times New Roman"/>
          <w:color w:val="auto"/>
          <w:szCs w:val="32"/>
          <w:lang w:val="en-US" w:eastAsia="zh-CN"/>
        </w:rPr>
        <w:t>推进粤港澳大湾区金融科技跨境创新测试工作，加强与香港、澳门金融科技监管沙盒对接，支持一批具有跨境特色的创新应用在前海开展试点，提升深港、深澳跨境金融服务创新水平。支持利用图像识别、区块链等现代技术，破解跨境见证开户、跨境凭证真实性审核、跨境信用信息授权查证等难点，提升投融资便利化水平。支持金融机构在跨境结算、贸易融资、外汇交易等领域搭建线上化平台，鼓励开发批量汇款、自助结汇、闪电开证等特色产品，服务外贸新业态新模式。</w:t>
      </w:r>
    </w:p>
    <w:p>
      <w:pPr>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color w:val="auto"/>
          <w:lang w:val="en-US" w:eastAsia="zh-CN"/>
        </w:rPr>
      </w:pPr>
      <w:bookmarkStart w:id="29" w:name="_Toc11922"/>
      <w:bookmarkStart w:id="30" w:name="_Toc28816"/>
      <w:bookmarkStart w:id="31" w:name="_Toc10290"/>
      <w:r>
        <w:rPr>
          <w:rFonts w:hint="eastAsia"/>
          <w:b/>
          <w:bCs/>
          <w:color w:val="auto"/>
          <w:lang w:val="en-US" w:eastAsia="zh-CN"/>
        </w:rPr>
        <w:t>5.</w:t>
      </w:r>
      <w:r>
        <w:rPr>
          <w:rFonts w:hint="default"/>
          <w:b/>
          <w:bCs/>
          <w:color w:val="auto"/>
        </w:rPr>
        <w:t>支持数字人民币</w:t>
      </w:r>
      <w:r>
        <w:rPr>
          <w:rFonts w:hint="eastAsia"/>
          <w:b/>
          <w:bCs/>
          <w:color w:val="auto"/>
          <w:lang w:val="en-US" w:eastAsia="zh-CN"/>
        </w:rPr>
        <w:t>应用场景</w:t>
      </w:r>
      <w:r>
        <w:rPr>
          <w:rFonts w:hint="default"/>
          <w:b/>
          <w:bCs/>
          <w:color w:val="auto"/>
        </w:rPr>
        <w:t>创新</w:t>
      </w:r>
      <w:bookmarkEnd w:id="29"/>
      <w:r>
        <w:rPr>
          <w:rFonts w:hint="eastAsia"/>
          <w:b/>
          <w:bCs/>
          <w:color w:val="auto"/>
          <w:lang w:eastAsia="zh-CN"/>
        </w:rPr>
        <w:t>。</w:t>
      </w:r>
      <w:r>
        <w:rPr>
          <w:rFonts w:hint="eastAsia"/>
          <w:color w:val="auto"/>
          <w:lang w:val="en-US" w:eastAsia="zh-CN"/>
        </w:rPr>
        <w:t>按照人民银行统一部署，深入推进数字人民币试点工作，不断丰富应用场景、扩大试点规模，完善数字人民币生态体系。充分发挥深圳金融科技研究院（央行金融科技研究院）带动作用，推进</w:t>
      </w:r>
      <w:r>
        <w:rPr>
          <w:rFonts w:hint="default"/>
          <w:color w:val="auto"/>
        </w:rPr>
        <w:t>数字人民币跨境支付和国际业务中心</w:t>
      </w:r>
      <w:r>
        <w:rPr>
          <w:rFonts w:hint="eastAsia"/>
          <w:color w:val="auto"/>
          <w:lang w:val="en-US" w:eastAsia="zh-CN"/>
        </w:rPr>
        <w:t>建设</w:t>
      </w:r>
      <w:r>
        <w:rPr>
          <w:rFonts w:hint="default"/>
          <w:color w:val="auto"/>
        </w:rPr>
        <w:t>，</w:t>
      </w:r>
      <w:r>
        <w:rPr>
          <w:rFonts w:hint="eastAsia"/>
          <w:color w:val="auto"/>
          <w:lang w:val="en-US" w:eastAsia="zh-CN"/>
        </w:rPr>
        <w:t>支持多边数字货币桥等重大项目建设，有序拓展跨境支付场景，加强国际交流合作。支持</w:t>
      </w:r>
      <w:r>
        <w:rPr>
          <w:rFonts w:hint="default"/>
          <w:color w:val="auto"/>
        </w:rPr>
        <w:t>人民银行贸易金融区块链平台</w:t>
      </w:r>
      <w:r>
        <w:rPr>
          <w:rFonts w:hint="eastAsia"/>
          <w:color w:val="auto"/>
          <w:lang w:val="en-US" w:eastAsia="zh-CN"/>
        </w:rPr>
        <w:t>建设</w:t>
      </w:r>
      <w:r>
        <w:rPr>
          <w:rFonts w:hint="default"/>
          <w:color w:val="auto"/>
        </w:rPr>
        <w:t>，</w:t>
      </w:r>
      <w:r>
        <w:rPr>
          <w:rFonts w:hint="eastAsia"/>
          <w:color w:val="auto"/>
          <w:lang w:val="en-US" w:eastAsia="zh-CN"/>
        </w:rPr>
        <w:t>鼓励</w:t>
      </w:r>
      <w:r>
        <w:rPr>
          <w:rFonts w:hint="default"/>
          <w:color w:val="auto"/>
        </w:rPr>
        <w:t>数字货币</w:t>
      </w:r>
      <w:r>
        <w:rPr>
          <w:rFonts w:hint="eastAsia"/>
          <w:color w:val="auto"/>
          <w:lang w:eastAsia="zh-CN"/>
        </w:rPr>
        <w:t>、</w:t>
      </w:r>
      <w:r>
        <w:rPr>
          <w:rFonts w:hint="default"/>
          <w:color w:val="auto"/>
        </w:rPr>
        <w:t>区块链技术在</w:t>
      </w:r>
      <w:r>
        <w:rPr>
          <w:rFonts w:hint="eastAsia"/>
          <w:color w:val="auto"/>
          <w:lang w:val="en-US" w:eastAsia="zh-CN"/>
        </w:rPr>
        <w:t>跨境贸易、跨境投融资、资金清算结算等重点领域的研究应用，鼓励结合实体产业发展在深圳落地更多有益场景。</w:t>
      </w:r>
    </w:p>
    <w:tbl>
      <w:tblPr>
        <w:tblStyle w:val="15"/>
        <w:tblpPr w:leftFromText="180" w:rightFromText="180" w:vertAnchor="text" w:tblpXSpec="center" w:tblpY="1"/>
        <w:tblOverlap w:val="never"/>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7986" w:type="dxa"/>
            <w:tcMar>
              <w:top w:w="57" w:type="dxa"/>
              <w:left w:w="170" w:type="dxa"/>
              <w:bottom w:w="57" w:type="dxa"/>
              <w:right w:w="170" w:type="dxa"/>
            </w:tcMar>
            <w:vAlign w:val="top"/>
          </w:tcPr>
          <w:p>
            <w:pPr>
              <w:pStyle w:val="2"/>
              <w:keepNext w:val="0"/>
              <w:keepLines w:val="0"/>
              <w:pageBreakBefore w:val="0"/>
              <w:widowControl w:val="0"/>
              <w:kinsoku/>
              <w:wordWrap/>
              <w:overflowPunct/>
              <w:topLinePunct w:val="0"/>
              <w:autoSpaceDE/>
              <w:autoSpaceDN/>
              <w:bidi w:val="0"/>
              <w:adjustRightInd/>
              <w:snapToGrid w:val="0"/>
              <w:spacing w:before="219" w:beforeLines="50" w:after="110" w:afterLines="25" w:line="440" w:lineRule="exact"/>
              <w:ind w:left="0" w:leftChars="0" w:firstLine="0" w:firstLineChars="0"/>
              <w:jc w:val="both"/>
              <w:textAlignment w:val="baseline"/>
              <w:rPr>
                <w:rFonts w:hint="eastAsia"/>
                <w:sz w:val="28"/>
                <w:szCs w:val="21"/>
                <w:lang w:val="en-US" w:eastAsia="zh-CN"/>
              </w:rPr>
            </w:pPr>
            <w:r>
              <w:rPr>
                <w:rFonts w:hint="eastAsia"/>
                <w:b/>
                <w:bCs/>
                <w:sz w:val="28"/>
                <w:szCs w:val="21"/>
                <w:lang w:val="en-US" w:eastAsia="zh-CN"/>
              </w:rPr>
              <w:t>专栏3：深圳市数字人民币试点工作</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ascii="楷体_GB2312" w:hAnsi="楷体_GB2312" w:eastAsia="楷体_GB2312" w:cs="楷体_GB2312"/>
                <w:spacing w:val="-6"/>
                <w:sz w:val="28"/>
                <w:szCs w:val="21"/>
                <w:lang w:val="en-US" w:eastAsia="zh-CN"/>
              </w:rPr>
            </w:pPr>
            <w:r>
              <w:rPr>
                <w:rFonts w:hint="eastAsia" w:ascii="楷体_GB2312" w:hAnsi="楷体_GB2312" w:eastAsia="楷体_GB2312" w:cs="楷体_GB2312"/>
                <w:spacing w:val="-6"/>
                <w:sz w:val="28"/>
                <w:szCs w:val="21"/>
                <w:lang w:val="en-US" w:eastAsia="zh-CN"/>
              </w:rPr>
              <w:t>2020年10月，国内首次数字人民币外部可控试点活动“礼享罗湖数字人民币红包”发布，此后数字人民币“红包模式”在其他试点城市迅速推广。</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ascii="楷体_GB2312" w:hAnsi="楷体_GB2312" w:eastAsia="楷体_GB2312" w:cs="楷体_GB2312"/>
                <w:spacing w:val="-6"/>
                <w:sz w:val="28"/>
                <w:szCs w:val="21"/>
                <w:lang w:val="en-US" w:eastAsia="zh-CN"/>
              </w:rPr>
            </w:pPr>
            <w:r>
              <w:rPr>
                <w:rFonts w:hint="eastAsia" w:ascii="楷体_GB2312" w:hAnsi="楷体_GB2312" w:eastAsia="楷体_GB2312" w:cs="楷体_GB2312"/>
                <w:spacing w:val="-6"/>
                <w:sz w:val="28"/>
                <w:szCs w:val="21"/>
                <w:lang w:val="en-US" w:eastAsia="zh-CN"/>
              </w:rPr>
              <w:t>两年多来，深圳数字人民币试点工作以满足国内零售支付需求为目标，围绕人民群众的多样化支付需求，不断扩大试点规模，持续探索与应用场景的深度融合，已初步形成了具有一定规模消费群体和应用场景的数字人民币生态体系。</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ascii="楷体_GB2312" w:hAnsi="楷体_GB2312" w:eastAsia="楷体_GB2312" w:cs="楷体_GB2312"/>
                <w:spacing w:val="-6"/>
                <w:sz w:val="28"/>
                <w:szCs w:val="21"/>
                <w:lang w:val="en-US" w:eastAsia="zh-CN"/>
              </w:rPr>
            </w:pPr>
            <w:r>
              <w:rPr>
                <w:rFonts w:hint="eastAsia" w:ascii="楷体_GB2312" w:hAnsi="楷体_GB2312" w:eastAsia="楷体_GB2312" w:cs="楷体_GB2312"/>
                <w:spacing w:val="-6"/>
                <w:sz w:val="28"/>
                <w:szCs w:val="21"/>
                <w:lang w:val="en-US" w:eastAsia="zh-CN"/>
              </w:rPr>
              <w:t>深圳数字人民币试点工作得到政府部门的大力支持，在公积金缴纳、税款缴纳、非税缴费等领域的应用稳步推进。同时，在疫情防控常态化期间，深圳充分发挥数字人民币“支付即结算”的特性，探索使用数字人民币向小微企业发放政府专项资金，提高了资金周转效率，深圳各有关部门累计向2400余家小微企业发放数字人民币专项资金6.2亿元。此外，为应对新冠疫情、帮助市场主体纾困解难，2022年4月以来，深圳先后开展“乐购深圳”“美好福田”等多轮数字人民币红包活动，并启动使用数字人民币发放购车补贴，全力支持线下消费复苏。</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ascii="楷体_GB2312" w:hAnsi="楷体_GB2312" w:eastAsia="楷体_GB2312" w:cs="楷体_GB2312"/>
                <w:spacing w:val="-6"/>
                <w:sz w:val="28"/>
                <w:szCs w:val="21"/>
                <w:lang w:val="en-US" w:eastAsia="zh-CN"/>
              </w:rPr>
            </w:pPr>
            <w:r>
              <w:rPr>
                <w:rFonts w:hint="eastAsia" w:ascii="楷体_GB2312" w:hAnsi="楷体_GB2312" w:eastAsia="楷体_GB2312" w:cs="楷体_GB2312"/>
                <w:spacing w:val="-6"/>
                <w:sz w:val="28"/>
                <w:szCs w:val="21"/>
                <w:lang w:val="en-US" w:eastAsia="zh-CN"/>
              </w:rPr>
              <w:t>2022年5月，深圳落地数字人民币预付式消费平台，并首选教培行业进行试点，利用数字人民币智能化优势，实现预收费资金的智能化监管，保障消费者合法权益，助力行业健康发展。</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lang w:val="en-US" w:eastAsia="zh-CN"/>
              </w:rPr>
            </w:pPr>
            <w:r>
              <w:rPr>
                <w:rFonts w:hint="eastAsia" w:ascii="楷体_GB2312" w:hAnsi="楷体_GB2312" w:eastAsia="楷体_GB2312" w:cs="楷体_GB2312"/>
                <w:spacing w:val="-6"/>
                <w:sz w:val="28"/>
                <w:szCs w:val="21"/>
                <w:lang w:val="en-US" w:eastAsia="zh-CN"/>
              </w:rPr>
              <w:t>深圳辖区多家银行通过数字人民币红包、防疫险赠送、消费立减等方式便民惠民，并致力于依托数字人民币优势解决市场痛点、难点问题，比如，2022年5月，农业银行深圳分行与供应链企业联易融公司合作，实现数字人民币在供应链领域的全流程应用，助力企业降低财务管理成本、提升资金使用效率。</w:t>
            </w:r>
          </w:p>
        </w:tc>
      </w:tr>
    </w:tbl>
    <w:p>
      <w:pPr>
        <w:pStyle w:val="4"/>
        <w:pageBreakBefore w:val="0"/>
        <w:widowControl w:val="0"/>
        <w:kinsoku/>
        <w:wordWrap/>
        <w:overflowPunct/>
        <w:topLinePunct w:val="0"/>
        <w:bidi w:val="0"/>
        <w:adjustRightInd/>
        <w:snapToGrid/>
        <w:spacing w:line="600" w:lineRule="exact"/>
        <w:rPr>
          <w:rFonts w:hint="eastAsia"/>
          <w:color w:val="auto"/>
          <w:lang w:eastAsia="zh-CN"/>
        </w:rPr>
      </w:pPr>
      <w:bookmarkStart w:id="32" w:name="_Toc1142378843"/>
      <w:r>
        <w:rPr>
          <w:rFonts w:hint="eastAsia"/>
          <w:color w:val="auto"/>
          <w:lang w:eastAsia="zh-CN"/>
        </w:rPr>
        <w:t>（</w:t>
      </w:r>
      <w:r>
        <w:rPr>
          <w:rFonts w:hint="eastAsia"/>
          <w:color w:val="auto"/>
          <w:lang w:val="en-US" w:eastAsia="zh-CN"/>
        </w:rPr>
        <w:t>三</w:t>
      </w:r>
      <w:r>
        <w:rPr>
          <w:rFonts w:hint="eastAsia"/>
          <w:color w:val="auto"/>
          <w:lang w:eastAsia="zh-CN"/>
        </w:rPr>
        <w:t>）</w:t>
      </w:r>
      <w:r>
        <w:rPr>
          <w:rFonts w:hint="default"/>
          <w:color w:val="auto"/>
          <w:lang w:eastAsia="zh-CN"/>
        </w:rPr>
        <w:t>完善金融科技基础设施</w:t>
      </w:r>
      <w:bookmarkEnd w:id="30"/>
      <w:bookmarkEnd w:id="31"/>
      <w:r>
        <w:rPr>
          <w:rFonts w:hint="eastAsia"/>
          <w:color w:val="auto"/>
          <w:lang w:eastAsia="zh-CN"/>
        </w:rPr>
        <w:t>载体</w:t>
      </w:r>
      <w:bookmarkEnd w:id="32"/>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Cs w:val="32"/>
          <w:lang w:val="en-US" w:eastAsia="zh-CN"/>
        </w:rPr>
      </w:pPr>
      <w:bookmarkStart w:id="33" w:name="_Toc15325"/>
      <w:r>
        <w:rPr>
          <w:rFonts w:hint="eastAsia"/>
          <w:b/>
          <w:bCs/>
          <w:color w:val="auto"/>
          <w:lang w:eastAsia="zh-CN"/>
        </w:rPr>
        <w:t>1</w:t>
      </w:r>
      <w:r>
        <w:rPr>
          <w:rFonts w:hint="eastAsia"/>
          <w:b/>
          <w:bCs/>
          <w:color w:val="auto"/>
          <w:lang w:val="en-US" w:eastAsia="zh-CN"/>
        </w:rPr>
        <w:t>.</w:t>
      </w:r>
      <w:r>
        <w:rPr>
          <w:rFonts w:hint="default"/>
          <w:b/>
          <w:bCs/>
          <w:color w:val="auto"/>
        </w:rPr>
        <w:t>鼓励金融科技基础设施机构在深发展</w:t>
      </w:r>
      <w:bookmarkEnd w:id="33"/>
      <w:r>
        <w:rPr>
          <w:rFonts w:hint="eastAsia"/>
          <w:b/>
          <w:bCs/>
          <w:color w:val="auto"/>
          <w:lang w:eastAsia="zh-CN"/>
        </w:rPr>
        <w:t>。</w:t>
      </w:r>
      <w:r>
        <w:rPr>
          <w:rFonts w:hint="eastAsia" w:ascii="Times New Roman" w:hAnsi="Times New Roman" w:cs="Times New Roman"/>
          <w:color w:val="auto"/>
          <w:szCs w:val="32"/>
          <w:lang w:val="en-US" w:eastAsia="zh-CN"/>
        </w:rPr>
        <w:t>大力支持深圳国家金融科技测评中心发展</w:t>
      </w:r>
      <w:r>
        <w:rPr>
          <w:rFonts w:hint="default" w:ascii="Times New Roman" w:hAnsi="Times New Roman" w:cs="Times New Roman"/>
          <w:color w:val="auto"/>
          <w:szCs w:val="32"/>
        </w:rPr>
        <w:t>，争取更多</w:t>
      </w:r>
      <w:r>
        <w:rPr>
          <w:rFonts w:hint="eastAsia" w:ascii="Times New Roman" w:hAnsi="Times New Roman" w:cs="Times New Roman"/>
          <w:color w:val="auto"/>
          <w:szCs w:val="32"/>
          <w:lang w:val="en-US" w:eastAsia="zh-CN"/>
        </w:rPr>
        <w:t>具有示范性、带动效应的</w:t>
      </w:r>
      <w:r>
        <w:rPr>
          <w:rFonts w:hint="default" w:ascii="Times New Roman" w:hAnsi="Times New Roman" w:cs="Times New Roman"/>
          <w:color w:val="auto"/>
          <w:szCs w:val="32"/>
        </w:rPr>
        <w:t>金融</w:t>
      </w:r>
      <w:r>
        <w:rPr>
          <w:rFonts w:hint="eastAsia" w:ascii="Times New Roman" w:hAnsi="Times New Roman" w:cs="Times New Roman"/>
          <w:color w:val="auto"/>
          <w:szCs w:val="32"/>
          <w:lang w:val="en-US" w:eastAsia="zh-CN"/>
        </w:rPr>
        <w:t>科技</w:t>
      </w:r>
      <w:r>
        <w:rPr>
          <w:rFonts w:hint="default" w:ascii="Times New Roman" w:hAnsi="Times New Roman" w:cs="Times New Roman"/>
          <w:color w:val="auto"/>
          <w:szCs w:val="32"/>
        </w:rPr>
        <w:t>基础设施</w:t>
      </w:r>
      <w:r>
        <w:rPr>
          <w:rFonts w:hint="eastAsia" w:ascii="Times New Roman" w:hAnsi="Times New Roman" w:cs="Times New Roman"/>
          <w:color w:val="auto"/>
          <w:szCs w:val="32"/>
          <w:lang w:val="en-US" w:eastAsia="zh-CN"/>
        </w:rPr>
        <w:t>和重大平台载体</w:t>
      </w:r>
      <w:r>
        <w:rPr>
          <w:rFonts w:hint="default" w:ascii="Times New Roman" w:hAnsi="Times New Roman" w:cs="Times New Roman"/>
          <w:color w:val="auto"/>
          <w:szCs w:val="32"/>
        </w:rPr>
        <w:t>落户深圳</w:t>
      </w:r>
      <w:r>
        <w:rPr>
          <w:rFonts w:hint="eastAsia" w:ascii="Times New Roman" w:hAnsi="Times New Roman" w:cs="Times New Roman"/>
          <w:color w:val="auto"/>
          <w:szCs w:val="32"/>
          <w:lang w:eastAsia="zh-CN"/>
        </w:rPr>
        <w:t>。</w:t>
      </w:r>
      <w:r>
        <w:rPr>
          <w:rFonts w:hint="default" w:ascii="Times New Roman" w:hAnsi="Times New Roman" w:cs="Times New Roman"/>
          <w:color w:val="auto"/>
          <w:szCs w:val="32"/>
        </w:rPr>
        <w:t>支持</w:t>
      </w:r>
      <w:r>
        <w:rPr>
          <w:rFonts w:hint="eastAsia" w:ascii="Times New Roman" w:hAnsi="Times New Roman" w:cs="Times New Roman"/>
          <w:color w:val="auto"/>
          <w:szCs w:val="32"/>
          <w:lang w:val="en-US" w:eastAsia="zh-CN"/>
        </w:rPr>
        <w:t>持牌</w:t>
      </w:r>
      <w:r>
        <w:rPr>
          <w:rFonts w:hint="default" w:ascii="Times New Roman" w:hAnsi="Times New Roman" w:cs="Times New Roman"/>
          <w:color w:val="auto"/>
          <w:szCs w:val="32"/>
        </w:rPr>
        <w:t>金融机构、</w:t>
      </w:r>
      <w:r>
        <w:rPr>
          <w:rFonts w:hint="eastAsia" w:ascii="Times New Roman" w:hAnsi="Times New Roman" w:cs="Times New Roman"/>
          <w:color w:val="auto"/>
          <w:szCs w:val="32"/>
          <w:lang w:val="en-US" w:eastAsia="zh-CN"/>
        </w:rPr>
        <w:t>大型互联网</w:t>
      </w:r>
      <w:r>
        <w:rPr>
          <w:rFonts w:hint="default" w:ascii="Times New Roman" w:hAnsi="Times New Roman" w:cs="Times New Roman"/>
          <w:color w:val="auto"/>
          <w:szCs w:val="32"/>
        </w:rPr>
        <w:t>企业、</w:t>
      </w:r>
      <w:r>
        <w:rPr>
          <w:rFonts w:hint="eastAsia" w:ascii="Times New Roman" w:hAnsi="Times New Roman" w:cs="Times New Roman"/>
          <w:color w:val="auto"/>
          <w:szCs w:val="32"/>
          <w:lang w:val="en-US" w:eastAsia="zh-CN"/>
        </w:rPr>
        <w:t>专业</w:t>
      </w:r>
      <w:r>
        <w:rPr>
          <w:rFonts w:hint="default" w:ascii="Times New Roman" w:hAnsi="Times New Roman" w:cs="Times New Roman"/>
          <w:color w:val="auto"/>
          <w:szCs w:val="32"/>
        </w:rPr>
        <w:t>中介机构等创新主体围绕金融科技关键环节，充分利用最新技术发展成果，</w:t>
      </w:r>
      <w:r>
        <w:rPr>
          <w:rFonts w:hint="eastAsia" w:ascii="Times New Roman" w:hAnsi="Times New Roman" w:cs="Times New Roman"/>
          <w:color w:val="auto"/>
          <w:szCs w:val="32"/>
          <w:lang w:val="en-US" w:eastAsia="zh-CN"/>
        </w:rPr>
        <w:t>聚焦具体场景和特色领域，</w:t>
      </w:r>
      <w:r>
        <w:rPr>
          <w:rFonts w:hint="default" w:ascii="Times New Roman" w:hAnsi="Times New Roman" w:cs="Times New Roman"/>
          <w:color w:val="auto"/>
          <w:szCs w:val="32"/>
        </w:rPr>
        <w:t>建设软硬件配套齐全的金融科技基础设施。</w:t>
      </w:r>
      <w:r>
        <w:rPr>
          <w:rFonts w:hint="eastAsia" w:ascii="Times New Roman" w:hAnsi="Times New Roman" w:cs="Times New Roman"/>
          <w:color w:val="auto"/>
          <w:szCs w:val="32"/>
          <w:lang w:val="en-US" w:eastAsia="zh-CN"/>
        </w:rPr>
        <w:t>围绕金融科技</w:t>
      </w:r>
      <w:r>
        <w:rPr>
          <w:rFonts w:hint="eastAsia" w:ascii="Times New Roman" w:hAnsi="Times New Roman" w:eastAsia="仿宋_GB2312" w:cs="Times New Roman"/>
          <w:color w:val="auto"/>
          <w:szCs w:val="32"/>
          <w:lang w:eastAsia="zh-CN"/>
        </w:rPr>
        <w:t>领域数据安全、网络安全、系统安全</w:t>
      </w:r>
      <w:r>
        <w:rPr>
          <w:rFonts w:hint="eastAsia" w:ascii="Times New Roman" w:hAnsi="Times New Roman" w:cs="Times New Roman"/>
          <w:color w:val="auto"/>
          <w:szCs w:val="32"/>
          <w:lang w:val="en-US" w:eastAsia="zh-CN"/>
        </w:rPr>
        <w:t>等共性问题以及数据治理、资产定价、争议仲裁等关键领域，不断建立健全与金融科技基础设施互为支撑、相互促进的公共服务体系。</w:t>
      </w:r>
    </w:p>
    <w:p>
      <w:pPr>
        <w:pageBreakBefore w:val="0"/>
        <w:widowControl w:val="0"/>
        <w:kinsoku/>
        <w:wordWrap/>
        <w:overflowPunct/>
        <w:topLinePunct w:val="0"/>
        <w:autoSpaceDE/>
        <w:autoSpaceDN/>
        <w:bidi w:val="0"/>
        <w:adjustRightInd/>
        <w:snapToGrid/>
        <w:spacing w:line="560" w:lineRule="exact"/>
        <w:ind w:firstLine="643" w:firstLineChars="200"/>
        <w:rPr>
          <w:rFonts w:hint="eastAsia" w:ascii="Times New Roman" w:hAnsi="Times New Roman" w:eastAsia="仿宋_GB2312" w:cs="Times New Roman"/>
          <w:color w:val="auto"/>
          <w:szCs w:val="32"/>
          <w:lang w:val="en-US" w:eastAsia="zh-CN"/>
        </w:rPr>
      </w:pPr>
      <w:r>
        <w:rPr>
          <w:rFonts w:hint="eastAsia"/>
          <w:b/>
          <w:bCs/>
          <w:color w:val="auto"/>
          <w:lang w:val="en-US" w:eastAsia="zh-CN"/>
        </w:rPr>
        <w:t>2.</w:t>
      </w:r>
      <w:r>
        <w:rPr>
          <w:rFonts w:hint="default"/>
          <w:b/>
          <w:bCs/>
          <w:color w:val="auto"/>
        </w:rPr>
        <w:t>打造数据开放共享与企业服务平台</w:t>
      </w:r>
      <w:r>
        <w:rPr>
          <w:rFonts w:hint="eastAsia"/>
          <w:b/>
          <w:bCs/>
          <w:color w:val="auto"/>
          <w:lang w:eastAsia="zh-CN"/>
        </w:rPr>
        <w:t>。</w:t>
      </w:r>
      <w:r>
        <w:rPr>
          <w:rFonts w:hint="default" w:ascii="Times New Roman" w:hAnsi="Times New Roman" w:cs="Times New Roman"/>
          <w:color w:val="auto"/>
          <w:szCs w:val="32"/>
        </w:rPr>
        <w:t>加快推进深圳市数据交易场所建设，</w:t>
      </w:r>
      <w:r>
        <w:rPr>
          <w:rFonts w:hint="eastAsia" w:ascii="Times New Roman" w:hAnsi="Times New Roman" w:cs="Times New Roman"/>
          <w:color w:val="auto"/>
          <w:szCs w:val="32"/>
          <w:lang w:val="en-US" w:eastAsia="zh-CN"/>
        </w:rPr>
        <w:t>逐步建立健全数据权益、交易流通、跨境传输和安全保护等基础性制度规范，支持</w:t>
      </w:r>
      <w:r>
        <w:rPr>
          <w:rFonts w:hint="default" w:ascii="Times New Roman" w:hAnsi="Times New Roman" w:cs="Times New Roman"/>
          <w:color w:val="auto"/>
          <w:szCs w:val="32"/>
        </w:rPr>
        <w:t>“数字政府+金融科技”模式创新，打造金融业</w:t>
      </w:r>
      <w:r>
        <w:rPr>
          <w:rFonts w:hint="eastAsia" w:ascii="Times New Roman" w:hAnsi="Times New Roman" w:cs="Times New Roman"/>
          <w:color w:val="auto"/>
          <w:szCs w:val="32"/>
          <w:lang w:val="en-US" w:eastAsia="zh-CN"/>
        </w:rPr>
        <w:t>等</w:t>
      </w:r>
      <w:r>
        <w:rPr>
          <w:rFonts w:hint="default" w:ascii="Times New Roman" w:hAnsi="Times New Roman" w:cs="Times New Roman"/>
          <w:color w:val="auto"/>
          <w:szCs w:val="32"/>
        </w:rPr>
        <w:t>数据要素融合应用平台。</w:t>
      </w:r>
      <w:r>
        <w:rPr>
          <w:rFonts w:hint="eastAsia" w:ascii="Times New Roman" w:hAnsi="Times New Roman" w:cs="Times New Roman"/>
          <w:color w:val="auto"/>
          <w:szCs w:val="32"/>
          <w:lang w:val="en-US" w:eastAsia="zh-CN"/>
        </w:rPr>
        <w:t>进一步</w:t>
      </w:r>
      <w:r>
        <w:rPr>
          <w:rFonts w:hint="default" w:ascii="Times New Roman" w:hAnsi="Times New Roman" w:cs="Times New Roman"/>
          <w:color w:val="auto"/>
          <w:szCs w:val="32"/>
        </w:rPr>
        <w:t>整合工商、税务、社保、公积金、水电气等</w:t>
      </w:r>
      <w:r>
        <w:rPr>
          <w:rFonts w:hint="eastAsia" w:ascii="Times New Roman" w:hAnsi="Times New Roman" w:cs="Times New Roman"/>
          <w:color w:val="auto"/>
          <w:szCs w:val="32"/>
          <w:lang w:val="en-US" w:eastAsia="zh-CN"/>
        </w:rPr>
        <w:t>政务</w:t>
      </w:r>
      <w:r>
        <w:rPr>
          <w:rFonts w:hint="default" w:ascii="Times New Roman" w:hAnsi="Times New Roman" w:cs="Times New Roman"/>
          <w:color w:val="auto"/>
          <w:szCs w:val="32"/>
        </w:rPr>
        <w:t>数据，</w:t>
      </w:r>
      <w:r>
        <w:rPr>
          <w:rFonts w:hint="eastAsia" w:ascii="Times New Roman" w:hAnsi="Times New Roman" w:cs="Times New Roman"/>
          <w:color w:val="auto"/>
          <w:szCs w:val="32"/>
          <w:lang w:val="en-US" w:eastAsia="zh-CN"/>
        </w:rPr>
        <w:t>帮助</w:t>
      </w:r>
      <w:r>
        <w:rPr>
          <w:rFonts w:hint="default" w:ascii="Times New Roman" w:hAnsi="Times New Roman" w:cs="Times New Roman"/>
          <w:color w:val="auto"/>
          <w:szCs w:val="32"/>
        </w:rPr>
        <w:t>企业信用评级和风险画像，</w:t>
      </w:r>
      <w:r>
        <w:rPr>
          <w:rFonts w:hint="eastAsia" w:ascii="Times New Roman" w:hAnsi="Times New Roman" w:cs="Times New Roman"/>
          <w:color w:val="auto"/>
          <w:szCs w:val="32"/>
          <w:lang w:val="en-US" w:eastAsia="zh-CN"/>
        </w:rPr>
        <w:t>支持与银证保各类</w:t>
      </w:r>
      <w:r>
        <w:rPr>
          <w:rFonts w:hint="default" w:ascii="Times New Roman" w:hAnsi="Times New Roman" w:cs="Times New Roman"/>
          <w:color w:val="auto"/>
          <w:szCs w:val="32"/>
        </w:rPr>
        <w:t>金融资源</w:t>
      </w:r>
      <w:r>
        <w:rPr>
          <w:rFonts w:hint="eastAsia" w:ascii="Times New Roman" w:hAnsi="Times New Roman" w:cs="Times New Roman"/>
          <w:color w:val="auto"/>
          <w:szCs w:val="32"/>
          <w:lang w:val="en-US" w:eastAsia="zh-CN"/>
        </w:rPr>
        <w:t>要素对接</w:t>
      </w:r>
      <w:r>
        <w:rPr>
          <w:rFonts w:hint="default" w:ascii="Times New Roman" w:hAnsi="Times New Roman" w:cs="Times New Roman"/>
          <w:color w:val="auto"/>
          <w:szCs w:val="32"/>
        </w:rPr>
        <w:t>，打通政银企数据壁垒，</w:t>
      </w:r>
      <w:r>
        <w:rPr>
          <w:rFonts w:hint="eastAsia" w:ascii="Times New Roman" w:hAnsi="Times New Roman" w:cs="Times New Roman"/>
          <w:color w:val="auto"/>
          <w:szCs w:val="32"/>
          <w:lang w:val="en-US" w:eastAsia="zh-CN"/>
        </w:rPr>
        <w:t>强化</w:t>
      </w:r>
      <w:r>
        <w:rPr>
          <w:rFonts w:hint="default" w:ascii="Times New Roman" w:hAnsi="Times New Roman" w:cs="Times New Roman"/>
          <w:color w:val="auto"/>
          <w:szCs w:val="32"/>
        </w:rPr>
        <w:t>基础</w:t>
      </w:r>
      <w:r>
        <w:rPr>
          <w:rFonts w:hint="eastAsia" w:ascii="Times New Roman" w:hAnsi="Times New Roman" w:cs="Times New Roman"/>
          <w:color w:val="auto"/>
          <w:szCs w:val="32"/>
          <w:lang w:val="en-US" w:eastAsia="zh-CN"/>
        </w:rPr>
        <w:t>数据</w:t>
      </w:r>
      <w:r>
        <w:rPr>
          <w:rFonts w:hint="default" w:ascii="Times New Roman" w:hAnsi="Times New Roman" w:cs="Times New Roman"/>
          <w:color w:val="auto"/>
          <w:szCs w:val="32"/>
        </w:rPr>
        <w:t>支撑。</w:t>
      </w:r>
      <w:r>
        <w:rPr>
          <w:rFonts w:hint="eastAsia" w:ascii="Times New Roman" w:hAnsi="Times New Roman" w:cs="Times New Roman"/>
          <w:color w:val="auto"/>
          <w:szCs w:val="32"/>
          <w:lang w:val="en-US" w:eastAsia="zh-CN"/>
        </w:rPr>
        <w:t>支持运用</w:t>
      </w:r>
      <w:r>
        <w:rPr>
          <w:rFonts w:hint="default" w:ascii="Times New Roman" w:hAnsi="Times New Roman" w:cs="Times New Roman"/>
          <w:color w:val="auto"/>
          <w:szCs w:val="32"/>
        </w:rPr>
        <w:t>隐私计算、区块链等</w:t>
      </w:r>
      <w:r>
        <w:rPr>
          <w:rFonts w:hint="eastAsia" w:ascii="Times New Roman" w:hAnsi="Times New Roman" w:cs="Times New Roman"/>
          <w:color w:val="auto"/>
          <w:szCs w:val="32"/>
          <w:lang w:val="en-US" w:eastAsia="zh-CN"/>
        </w:rPr>
        <w:t>关键技术</w:t>
      </w:r>
      <w:r>
        <w:rPr>
          <w:rFonts w:hint="default" w:ascii="Times New Roman" w:hAnsi="Times New Roman" w:cs="Times New Roman"/>
          <w:color w:val="auto"/>
          <w:szCs w:val="32"/>
        </w:rPr>
        <w:t>，实现数据流通的“可用不可见、可控可计量”，为数据供需双方提供可信的数据融合计算环境</w:t>
      </w:r>
      <w:r>
        <w:rPr>
          <w:rFonts w:hint="eastAsia" w:ascii="Times New Roman" w:hAnsi="Times New Roman" w:cs="Times New Roman"/>
          <w:color w:val="auto"/>
          <w:szCs w:val="32"/>
          <w:lang w:eastAsia="zh-CN"/>
        </w:rPr>
        <w:t>。</w:t>
      </w:r>
    </w:p>
    <w:p>
      <w:pPr>
        <w:pageBreakBefore w:val="0"/>
        <w:widowControl w:val="0"/>
        <w:kinsoku/>
        <w:wordWrap/>
        <w:overflowPunct/>
        <w:topLinePunct w:val="0"/>
        <w:autoSpaceDE/>
        <w:autoSpaceDN/>
        <w:bidi w:val="0"/>
        <w:adjustRightInd/>
        <w:snapToGrid/>
        <w:spacing w:line="560" w:lineRule="exact"/>
        <w:ind w:firstLine="643" w:firstLineChars="200"/>
        <w:rPr>
          <w:rFonts w:hint="eastAsia"/>
          <w:b/>
          <w:bCs/>
          <w:color w:val="auto"/>
        </w:rPr>
      </w:pPr>
      <w:bookmarkStart w:id="34" w:name="_Toc21285"/>
      <w:r>
        <w:rPr>
          <w:rFonts w:hint="eastAsia"/>
          <w:b/>
          <w:bCs/>
          <w:color w:val="auto"/>
          <w:lang w:val="en-US" w:eastAsia="zh-CN"/>
        </w:rPr>
        <w:t>3.不断</w:t>
      </w:r>
      <w:r>
        <w:rPr>
          <w:rFonts w:hint="default"/>
          <w:b/>
          <w:bCs/>
          <w:color w:val="auto"/>
        </w:rPr>
        <w:t>丰富金融科技指数体系</w:t>
      </w:r>
      <w:bookmarkEnd w:id="34"/>
      <w:r>
        <w:rPr>
          <w:rFonts w:hint="eastAsia"/>
          <w:b/>
          <w:bCs/>
          <w:color w:val="auto"/>
          <w:lang w:eastAsia="zh-CN"/>
        </w:rPr>
        <w:t>。</w:t>
      </w:r>
      <w:r>
        <w:rPr>
          <w:rFonts w:hint="default"/>
          <w:color w:val="auto"/>
        </w:rPr>
        <w:t>扩大“国证香蜜湖金融科技指数”影响力，鼓励业界开发更多挂钩和跟踪该指数的金融产品，推动将其纳入国际指数和资讯平台。</w:t>
      </w:r>
      <w:r>
        <w:rPr>
          <w:rFonts w:hint="eastAsia"/>
          <w:color w:val="auto"/>
          <w:lang w:val="en-US" w:eastAsia="zh-CN"/>
        </w:rPr>
        <w:t>支持编制金融科技总指数，科学客观地衡量和监测本地金融科技发展现状，为优化改进政策环境提供参考；支持</w:t>
      </w:r>
      <w:r>
        <w:rPr>
          <w:rFonts w:hint="default"/>
          <w:color w:val="auto"/>
        </w:rPr>
        <w:t>编制金融科技子类别指数，</w:t>
      </w:r>
      <w:r>
        <w:rPr>
          <w:rFonts w:hint="eastAsia"/>
          <w:color w:val="auto"/>
          <w:lang w:val="en-US" w:eastAsia="zh-CN"/>
        </w:rPr>
        <w:t>推动金融科技龙头企业做优做强，促进金融科技重点领域规范发展。积极参与国家金融科技标准体系、指数体系建设，加强金融科技指数在宏观形势研判、风险预警评估等拓展应用。</w:t>
      </w:r>
    </w:p>
    <w:p>
      <w:pPr>
        <w:pageBreakBefore w:val="0"/>
        <w:widowControl w:val="0"/>
        <w:kinsoku/>
        <w:wordWrap/>
        <w:overflowPunct/>
        <w:topLinePunct w:val="0"/>
        <w:autoSpaceDE/>
        <w:autoSpaceDN/>
        <w:bidi w:val="0"/>
        <w:adjustRightInd/>
        <w:snapToGrid/>
        <w:spacing w:line="560" w:lineRule="exact"/>
        <w:ind w:firstLine="643" w:firstLineChars="200"/>
        <w:rPr>
          <w:rFonts w:hint="default"/>
          <w:color w:val="auto"/>
          <w:lang w:val="en-US" w:eastAsia="zh-CN"/>
        </w:rPr>
      </w:pPr>
      <w:bookmarkStart w:id="35" w:name="_Toc30961"/>
      <w:r>
        <w:rPr>
          <w:rFonts w:hint="eastAsia"/>
          <w:b/>
          <w:bCs/>
          <w:color w:val="auto"/>
          <w:lang w:val="en-US" w:eastAsia="zh-CN"/>
        </w:rPr>
        <w:t>4.</w:t>
      </w:r>
      <w:r>
        <w:rPr>
          <w:rFonts w:hint="default"/>
          <w:b/>
          <w:bCs/>
          <w:color w:val="auto"/>
        </w:rPr>
        <w:t>支持金融科技实验室</w:t>
      </w:r>
      <w:r>
        <w:rPr>
          <w:rFonts w:hint="eastAsia"/>
          <w:b/>
          <w:bCs/>
          <w:color w:val="auto"/>
          <w:lang w:eastAsia="zh-CN"/>
        </w:rPr>
        <w:t>、</w:t>
      </w:r>
      <w:r>
        <w:rPr>
          <w:rFonts w:hint="eastAsia"/>
          <w:b/>
          <w:bCs/>
          <w:color w:val="auto"/>
          <w:lang w:val="en-US" w:eastAsia="zh-CN"/>
        </w:rPr>
        <w:t>研究中心建设</w:t>
      </w:r>
      <w:bookmarkEnd w:id="35"/>
      <w:r>
        <w:rPr>
          <w:rFonts w:hint="eastAsia"/>
          <w:b/>
          <w:bCs/>
          <w:color w:val="auto"/>
          <w:lang w:eastAsia="zh-CN"/>
        </w:rPr>
        <w:t>。</w:t>
      </w:r>
      <w:r>
        <w:rPr>
          <w:rFonts w:hint="eastAsia"/>
          <w:color w:val="auto"/>
          <w:lang w:eastAsia="zh-CN"/>
        </w:rPr>
        <w:t>支持金融机构与深圳大学、南方科技大学、中科院深圳理工大学、香港中文大学（深圳）等</w:t>
      </w:r>
      <w:r>
        <w:rPr>
          <w:rFonts w:hint="eastAsia"/>
          <w:color w:val="auto"/>
          <w:lang w:val="en-US" w:eastAsia="zh-CN"/>
        </w:rPr>
        <w:t>高校合作</w:t>
      </w:r>
      <w:r>
        <w:rPr>
          <w:rFonts w:hint="eastAsia"/>
          <w:color w:val="auto"/>
          <w:lang w:eastAsia="zh-CN"/>
        </w:rPr>
        <w:t>，联合建设若干高层次金融科技实验室，在监管部门指导下，对</w:t>
      </w:r>
      <w:r>
        <w:rPr>
          <w:rFonts w:hint="eastAsia"/>
          <w:color w:val="auto"/>
          <w:lang w:val="en-US" w:eastAsia="zh-CN"/>
        </w:rPr>
        <w:t>金融科技</w:t>
      </w:r>
      <w:r>
        <w:rPr>
          <w:rFonts w:hint="eastAsia"/>
          <w:color w:val="auto"/>
          <w:lang w:eastAsia="zh-CN"/>
        </w:rPr>
        <w:t>新技术、新服务、新理念</w:t>
      </w:r>
      <w:r>
        <w:rPr>
          <w:rFonts w:hint="eastAsia"/>
          <w:color w:val="auto"/>
          <w:lang w:val="en-US" w:eastAsia="zh-CN"/>
        </w:rPr>
        <w:t>等</w:t>
      </w:r>
      <w:r>
        <w:rPr>
          <w:rFonts w:hint="eastAsia"/>
          <w:color w:val="auto"/>
          <w:lang w:eastAsia="zh-CN"/>
        </w:rPr>
        <w:t>进行应用测试。支持</w:t>
      </w:r>
      <w:r>
        <w:rPr>
          <w:rFonts w:hint="eastAsia"/>
          <w:color w:val="auto"/>
          <w:lang w:val="en-US" w:eastAsia="zh-CN"/>
        </w:rPr>
        <w:t>在深</w:t>
      </w:r>
      <w:r>
        <w:rPr>
          <w:rFonts w:hint="eastAsia"/>
          <w:color w:val="auto"/>
          <w:lang w:eastAsia="zh-CN"/>
        </w:rPr>
        <w:t>高校、科研院所及其他机构</w:t>
      </w:r>
      <w:r>
        <w:rPr>
          <w:rFonts w:hint="eastAsia"/>
          <w:color w:val="auto"/>
          <w:lang w:val="en-US" w:eastAsia="zh-CN"/>
        </w:rPr>
        <w:t>在金融科技领域的</w:t>
      </w:r>
      <w:r>
        <w:rPr>
          <w:rFonts w:hint="eastAsia"/>
          <w:color w:val="auto"/>
          <w:lang w:eastAsia="zh-CN"/>
        </w:rPr>
        <w:t>前沿问题、共性技术、治理体系、法规建设、信用服务、标准规范以及消费者保护等方面加强研究，</w:t>
      </w:r>
      <w:r>
        <w:rPr>
          <w:rFonts w:hint="eastAsia"/>
          <w:color w:val="auto"/>
          <w:lang w:val="en-US" w:eastAsia="zh-CN"/>
        </w:rPr>
        <w:t>为</w:t>
      </w:r>
      <w:r>
        <w:rPr>
          <w:rFonts w:hint="eastAsia"/>
          <w:color w:val="auto"/>
          <w:lang w:eastAsia="zh-CN"/>
        </w:rPr>
        <w:t>金融科技</w:t>
      </w:r>
      <w:r>
        <w:rPr>
          <w:rFonts w:hint="eastAsia"/>
          <w:color w:val="auto"/>
          <w:lang w:val="en-US" w:eastAsia="zh-CN"/>
        </w:rPr>
        <w:t>可持续发展提供</w:t>
      </w:r>
      <w:r>
        <w:rPr>
          <w:rFonts w:hint="eastAsia"/>
          <w:color w:val="auto"/>
          <w:lang w:eastAsia="zh-CN"/>
        </w:rPr>
        <w:t>智库咨询。</w:t>
      </w:r>
      <w:r>
        <w:rPr>
          <w:rFonts w:hint="eastAsia"/>
          <w:color w:val="auto"/>
          <w:lang w:val="en-US" w:eastAsia="zh-CN"/>
        </w:rPr>
        <w:t>鼓励各区发挥政策和资源优势，争取国家级金融科技实验室、研究中心等在深落地。</w:t>
      </w:r>
    </w:p>
    <w:p>
      <w:pPr>
        <w:pStyle w:val="4"/>
        <w:pageBreakBefore w:val="0"/>
        <w:widowControl w:val="0"/>
        <w:kinsoku/>
        <w:wordWrap/>
        <w:overflowPunct/>
        <w:topLinePunct w:val="0"/>
        <w:autoSpaceDE/>
        <w:autoSpaceDN/>
        <w:bidi w:val="0"/>
        <w:adjustRightInd/>
        <w:snapToGrid/>
        <w:spacing w:line="560" w:lineRule="exact"/>
        <w:rPr>
          <w:rFonts w:hint="eastAsia"/>
          <w:color w:val="auto"/>
          <w:lang w:val="en-US" w:eastAsia="zh-CN"/>
        </w:rPr>
      </w:pPr>
      <w:bookmarkStart w:id="36" w:name="_Toc1140215956"/>
      <w:bookmarkStart w:id="37" w:name="_Toc31879"/>
      <w:bookmarkStart w:id="38" w:name="_Toc11937"/>
      <w:r>
        <w:rPr>
          <w:rFonts w:hint="eastAsia"/>
          <w:color w:val="auto"/>
          <w:lang w:eastAsia="zh-CN"/>
        </w:rPr>
        <w:t>（</w:t>
      </w:r>
      <w:r>
        <w:rPr>
          <w:rFonts w:hint="eastAsia"/>
          <w:color w:val="auto"/>
          <w:lang w:val="en-US" w:eastAsia="zh-CN"/>
        </w:rPr>
        <w:t>四</w:t>
      </w:r>
      <w:r>
        <w:rPr>
          <w:rFonts w:hint="eastAsia"/>
          <w:color w:val="auto"/>
          <w:lang w:eastAsia="zh-CN"/>
        </w:rPr>
        <w:t>）</w:t>
      </w:r>
      <w:bookmarkStart w:id="39" w:name="_Toc17095"/>
      <w:bookmarkStart w:id="40" w:name="_Toc21549"/>
      <w:r>
        <w:rPr>
          <w:rFonts w:hint="default"/>
          <w:color w:val="auto"/>
          <w:lang w:eastAsia="zh-CN"/>
        </w:rPr>
        <w:t>支持金融科技技术研发</w:t>
      </w:r>
      <w:bookmarkEnd w:id="39"/>
      <w:bookmarkEnd w:id="40"/>
      <w:r>
        <w:rPr>
          <w:rFonts w:hint="eastAsia"/>
          <w:color w:val="auto"/>
          <w:lang w:val="en-US" w:eastAsia="zh-CN"/>
        </w:rPr>
        <w:t>应用</w:t>
      </w:r>
      <w:bookmarkEnd w:id="36"/>
    </w:p>
    <w:p>
      <w:pPr>
        <w:pStyle w:val="2"/>
        <w:pageBreakBefore w:val="0"/>
        <w:widowControl w:val="0"/>
        <w:kinsoku/>
        <w:wordWrap/>
        <w:overflowPunct/>
        <w:topLinePunct w:val="0"/>
        <w:autoSpaceDE/>
        <w:autoSpaceDN/>
        <w:bidi w:val="0"/>
        <w:adjustRightInd/>
        <w:spacing w:line="560" w:lineRule="exact"/>
        <w:rPr>
          <w:rFonts w:hint="default"/>
          <w:lang w:val="en-US"/>
        </w:rPr>
      </w:pPr>
      <w:bookmarkStart w:id="41" w:name="_Toc3604"/>
      <w:r>
        <w:rPr>
          <w:rFonts w:hint="eastAsia"/>
          <w:b/>
          <w:bCs/>
          <w:color w:val="auto"/>
          <w:lang w:val="en-US" w:eastAsia="zh-CN"/>
        </w:rPr>
        <w:t>1.加大</w:t>
      </w:r>
      <w:r>
        <w:rPr>
          <w:rFonts w:hint="default"/>
          <w:b/>
          <w:bCs/>
          <w:color w:val="auto"/>
        </w:rPr>
        <w:t>金融科技基础研究支持力度</w:t>
      </w:r>
      <w:bookmarkEnd w:id="41"/>
      <w:r>
        <w:rPr>
          <w:rFonts w:hint="eastAsia"/>
          <w:b/>
          <w:bCs/>
          <w:color w:val="auto"/>
          <w:lang w:eastAsia="zh-CN"/>
        </w:rPr>
        <w:t>。</w:t>
      </w:r>
      <w:r>
        <w:rPr>
          <w:rFonts w:hint="eastAsia"/>
          <w:color w:val="auto"/>
          <w:lang w:val="en-US" w:eastAsia="zh-CN"/>
        </w:rPr>
        <w:t>不断完善</w:t>
      </w:r>
      <w:r>
        <w:rPr>
          <w:rFonts w:hint="default"/>
          <w:color w:val="auto"/>
        </w:rPr>
        <w:t>财政资金投入模式，</w:t>
      </w:r>
      <w:r>
        <w:rPr>
          <w:rFonts w:hint="eastAsia"/>
          <w:color w:val="auto"/>
          <w:lang w:val="en-US" w:eastAsia="zh-CN"/>
        </w:rPr>
        <w:t>有效</w:t>
      </w:r>
      <w:r>
        <w:rPr>
          <w:rFonts w:hint="eastAsia"/>
          <w:b w:val="0"/>
          <w:bCs w:val="0"/>
          <w:color w:val="auto"/>
          <w:lang w:val="en-US" w:eastAsia="zh-CN"/>
        </w:rPr>
        <w:t>发挥高等院校、行业组织、孵化平台等作用，通过揭榜挂帅、赛马等机制，引导</w:t>
      </w:r>
      <w:r>
        <w:rPr>
          <w:rFonts w:hint="eastAsia"/>
          <w:color w:val="auto"/>
          <w:lang w:val="en-US" w:eastAsia="zh-CN"/>
        </w:rPr>
        <w:t>加大</w:t>
      </w:r>
      <w:r>
        <w:rPr>
          <w:rFonts w:hint="default"/>
          <w:color w:val="auto"/>
        </w:rPr>
        <w:t>对金融科技</w:t>
      </w:r>
      <w:r>
        <w:rPr>
          <w:rFonts w:hint="default"/>
        </w:rPr>
        <w:t>基础技术、底层关键技术</w:t>
      </w:r>
      <w:r>
        <w:rPr>
          <w:rFonts w:hint="eastAsia"/>
          <w:lang w:val="en-US" w:eastAsia="zh-CN"/>
        </w:rPr>
        <w:t>及</w:t>
      </w:r>
      <w:r>
        <w:rPr>
          <w:rFonts w:hint="default"/>
        </w:rPr>
        <w:t>前沿技术研究</w:t>
      </w:r>
      <w:r>
        <w:rPr>
          <w:rFonts w:hint="default"/>
          <w:color w:val="auto"/>
        </w:rPr>
        <w:t>的支持力度。</w:t>
      </w:r>
      <w:r>
        <w:rPr>
          <w:rFonts w:hint="eastAsia"/>
          <w:color w:val="auto"/>
          <w:lang w:val="en-US" w:eastAsia="zh-CN"/>
        </w:rPr>
        <w:t>支持</w:t>
      </w:r>
      <w:r>
        <w:rPr>
          <w:rFonts w:hint="default"/>
          <w:color w:val="auto"/>
        </w:rPr>
        <w:t>投资机构与科研院所</w:t>
      </w:r>
      <w:r>
        <w:rPr>
          <w:rFonts w:hint="eastAsia"/>
          <w:color w:val="auto"/>
          <w:lang w:eastAsia="zh-CN"/>
        </w:rPr>
        <w:t>、</w:t>
      </w:r>
      <w:r>
        <w:rPr>
          <w:rFonts w:hint="eastAsia"/>
          <w:color w:val="auto"/>
          <w:lang w:val="en-US" w:eastAsia="zh-CN"/>
        </w:rPr>
        <w:t>试验室、研究中心等加强</w:t>
      </w:r>
      <w:r>
        <w:rPr>
          <w:rFonts w:hint="default"/>
          <w:color w:val="auto"/>
        </w:rPr>
        <w:t>对接</w:t>
      </w:r>
      <w:r>
        <w:rPr>
          <w:rFonts w:hint="eastAsia"/>
          <w:color w:val="auto"/>
          <w:lang w:eastAsia="zh-CN"/>
        </w:rPr>
        <w:t>，</w:t>
      </w:r>
      <w:r>
        <w:rPr>
          <w:rFonts w:hint="eastAsia"/>
          <w:color w:val="auto"/>
          <w:lang w:val="en-US" w:eastAsia="zh-CN"/>
        </w:rPr>
        <w:t>建立科学合理的</w:t>
      </w:r>
      <w:r>
        <w:rPr>
          <w:rFonts w:hint="default"/>
          <w:color w:val="auto"/>
        </w:rPr>
        <w:t>收益分配机制</w:t>
      </w:r>
      <w:r>
        <w:rPr>
          <w:rFonts w:hint="eastAsia"/>
          <w:color w:val="auto"/>
          <w:lang w:eastAsia="zh-CN"/>
        </w:rPr>
        <w:t>，</w:t>
      </w:r>
      <w:r>
        <w:rPr>
          <w:rFonts w:hint="eastAsia"/>
          <w:color w:val="auto"/>
          <w:lang w:val="en-US" w:eastAsia="zh-CN"/>
        </w:rPr>
        <w:t>引导更多</w:t>
      </w:r>
      <w:r>
        <w:rPr>
          <w:rFonts w:hint="default"/>
          <w:color w:val="auto"/>
        </w:rPr>
        <w:t>社会资本参与金融科技基础研究与应用研究</w:t>
      </w:r>
      <w:r>
        <w:rPr>
          <w:rFonts w:hint="default"/>
        </w:rPr>
        <w:t>。</w:t>
      </w:r>
      <w:r>
        <w:rPr>
          <w:rFonts w:hint="eastAsia"/>
          <w:lang w:val="en-US" w:eastAsia="zh-CN"/>
        </w:rPr>
        <w:t>鼓励</w:t>
      </w:r>
      <w:r>
        <w:rPr>
          <w:rFonts w:hint="default"/>
        </w:rPr>
        <w:t>有共性问题的企业进行技术联合攻关，在人工智能、云计算、分布式低时延技术等领域</w:t>
      </w:r>
      <w:r>
        <w:rPr>
          <w:rFonts w:hint="eastAsia"/>
          <w:lang w:val="en-US" w:eastAsia="zh-CN"/>
        </w:rPr>
        <w:t>加快</w:t>
      </w:r>
      <w:r>
        <w:rPr>
          <w:rFonts w:hint="default"/>
        </w:rPr>
        <w:t>形成知识产权和专利</w:t>
      </w:r>
      <w:r>
        <w:rPr>
          <w:rFonts w:hint="eastAsia"/>
          <w:lang w:val="en-US" w:eastAsia="zh-CN"/>
        </w:rPr>
        <w:t>成果。鼓励规范安全使用开源技术，以应用场景为牵引推动关键核心技术迭代完善。</w:t>
      </w:r>
    </w:p>
    <w:p>
      <w:pPr>
        <w:pageBreakBefore w:val="0"/>
        <w:widowControl w:val="0"/>
        <w:kinsoku/>
        <w:wordWrap/>
        <w:overflowPunct/>
        <w:topLinePunct w:val="0"/>
        <w:autoSpaceDE/>
        <w:autoSpaceDN/>
        <w:bidi w:val="0"/>
        <w:adjustRightInd/>
        <w:snapToGrid/>
        <w:spacing w:line="560" w:lineRule="exact"/>
        <w:ind w:firstLine="643" w:firstLineChars="200"/>
        <w:rPr>
          <w:rFonts w:hint="default" w:eastAsia="仿宋_GB2312"/>
          <w:color w:val="auto"/>
          <w:lang w:val="en-US" w:eastAsia="zh-CN"/>
        </w:rPr>
      </w:pPr>
      <w:bookmarkStart w:id="42" w:name="_Toc6444"/>
      <w:r>
        <w:rPr>
          <w:rFonts w:hint="eastAsia"/>
          <w:b/>
          <w:bCs/>
          <w:color w:val="auto"/>
          <w:lang w:val="en-US" w:eastAsia="zh-CN"/>
        </w:rPr>
        <w:t>2.</w:t>
      </w:r>
      <w:r>
        <w:rPr>
          <w:rFonts w:hint="default"/>
          <w:b/>
          <w:bCs/>
          <w:color w:val="auto"/>
        </w:rPr>
        <w:t>推动深港</w:t>
      </w:r>
      <w:r>
        <w:rPr>
          <w:rFonts w:hint="eastAsia"/>
          <w:b/>
          <w:bCs/>
          <w:color w:val="auto"/>
          <w:lang w:val="en-US" w:eastAsia="zh-CN"/>
        </w:rPr>
        <w:t>金融科技</w:t>
      </w:r>
      <w:r>
        <w:rPr>
          <w:rFonts w:hint="default"/>
          <w:b/>
          <w:bCs/>
          <w:color w:val="auto"/>
        </w:rPr>
        <w:t>产学研深度合作</w:t>
      </w:r>
      <w:bookmarkEnd w:id="42"/>
      <w:r>
        <w:rPr>
          <w:rFonts w:hint="eastAsia"/>
          <w:b/>
          <w:bCs/>
          <w:color w:val="auto"/>
          <w:lang w:eastAsia="zh-CN"/>
        </w:rPr>
        <w:t>。</w:t>
      </w:r>
      <w:r>
        <w:rPr>
          <w:rFonts w:hint="eastAsia"/>
          <w:b w:val="0"/>
          <w:bCs w:val="0"/>
          <w:color w:val="auto"/>
          <w:lang w:val="en-US" w:eastAsia="zh-CN"/>
        </w:rPr>
        <w:t>依托前海深港现代服务业合作区、河套深港科技创新合作区、大运深港国际科教城建设，支持香港机构在深圳新设或共建金融科技实验室、金融科技跨境研究机构</w:t>
      </w:r>
      <w:r>
        <w:rPr>
          <w:rFonts w:hint="default"/>
          <w:color w:val="auto"/>
        </w:rPr>
        <w:t>等</w:t>
      </w:r>
      <w:r>
        <w:rPr>
          <w:rFonts w:hint="eastAsia"/>
          <w:color w:val="auto"/>
          <w:lang w:eastAsia="zh-CN"/>
        </w:rPr>
        <w:t>，</w:t>
      </w:r>
      <w:r>
        <w:rPr>
          <w:rFonts w:hint="eastAsia"/>
          <w:color w:val="auto"/>
          <w:lang w:val="en-US" w:eastAsia="zh-CN"/>
        </w:rPr>
        <w:t>支持</w:t>
      </w:r>
      <w:r>
        <w:rPr>
          <w:rFonts w:hint="eastAsia"/>
          <w:color w:val="auto"/>
          <w:lang w:eastAsia="zh-CN"/>
        </w:rPr>
        <w:t>深圳金融科技类企业在香港</w:t>
      </w:r>
      <w:r>
        <w:rPr>
          <w:rFonts w:hint="eastAsia"/>
          <w:color w:val="auto"/>
          <w:lang w:val="en-US" w:eastAsia="zh-CN"/>
        </w:rPr>
        <w:t>投资</w:t>
      </w:r>
      <w:r>
        <w:rPr>
          <w:rFonts w:hint="eastAsia"/>
          <w:color w:val="auto"/>
          <w:lang w:eastAsia="zh-CN"/>
        </w:rPr>
        <w:t>布局，</w:t>
      </w:r>
      <w:r>
        <w:rPr>
          <w:rFonts w:hint="eastAsia"/>
          <w:color w:val="auto"/>
          <w:lang w:val="en-US" w:eastAsia="zh-CN"/>
        </w:rPr>
        <w:t>共同</w:t>
      </w:r>
      <w:r>
        <w:rPr>
          <w:rFonts w:hint="default"/>
          <w:color w:val="auto"/>
        </w:rPr>
        <w:t>打造</w:t>
      </w:r>
      <w:r>
        <w:rPr>
          <w:rFonts w:hint="eastAsia"/>
          <w:color w:val="auto"/>
          <w:lang w:val="en-US" w:eastAsia="zh-CN"/>
        </w:rPr>
        <w:t>粤港澳大湾区</w:t>
      </w:r>
      <w:r>
        <w:rPr>
          <w:rFonts w:hint="default"/>
          <w:color w:val="auto"/>
        </w:rPr>
        <w:t>数字金融新高地。</w:t>
      </w:r>
      <w:r>
        <w:rPr>
          <w:rFonts w:hint="eastAsia"/>
          <w:color w:val="auto"/>
          <w:lang w:val="en-US" w:eastAsia="zh-CN"/>
        </w:rPr>
        <w:t>支持深港两地高等院校、金融机构、科技企业等加强</w:t>
      </w:r>
      <w:r>
        <w:rPr>
          <w:rFonts w:hint="default"/>
          <w:color w:val="auto"/>
        </w:rPr>
        <w:t>资源</w:t>
      </w:r>
      <w:r>
        <w:rPr>
          <w:rFonts w:hint="eastAsia"/>
          <w:color w:val="auto"/>
          <w:lang w:val="en-US" w:eastAsia="zh-CN"/>
        </w:rPr>
        <w:t>协同合作，</w:t>
      </w:r>
      <w:r>
        <w:rPr>
          <w:rFonts w:hint="default"/>
          <w:color w:val="auto"/>
        </w:rPr>
        <w:t>发挥各自</w:t>
      </w:r>
      <w:r>
        <w:rPr>
          <w:rFonts w:hint="eastAsia"/>
          <w:color w:val="auto"/>
          <w:lang w:val="en-US" w:eastAsia="zh-CN"/>
        </w:rPr>
        <w:t>专业</w:t>
      </w:r>
      <w:r>
        <w:rPr>
          <w:rFonts w:hint="default"/>
          <w:color w:val="auto"/>
        </w:rPr>
        <w:t>优势，</w:t>
      </w:r>
      <w:r>
        <w:rPr>
          <w:rFonts w:hint="eastAsia"/>
          <w:color w:val="auto"/>
          <w:lang w:val="en-US" w:eastAsia="zh-CN"/>
        </w:rPr>
        <w:t>围绕</w:t>
      </w:r>
      <w:r>
        <w:rPr>
          <w:rFonts w:hint="default"/>
          <w:color w:val="auto"/>
        </w:rPr>
        <w:t>关键核心技术</w:t>
      </w:r>
      <w:r>
        <w:rPr>
          <w:rFonts w:hint="eastAsia"/>
          <w:color w:val="auto"/>
          <w:lang w:eastAsia="zh-CN"/>
        </w:rPr>
        <w:t>、</w:t>
      </w:r>
      <w:r>
        <w:rPr>
          <w:rFonts w:hint="eastAsia"/>
          <w:color w:val="auto"/>
          <w:lang w:val="en-US" w:eastAsia="zh-CN"/>
        </w:rPr>
        <w:t>数字化特色场景等开展</w:t>
      </w:r>
      <w:r>
        <w:rPr>
          <w:rFonts w:hint="default"/>
          <w:color w:val="auto"/>
        </w:rPr>
        <w:t>联合攻关，主动融入全球创新网络。</w:t>
      </w:r>
      <w:r>
        <w:rPr>
          <w:rFonts w:hint="eastAsia"/>
          <w:color w:val="auto"/>
          <w:lang w:val="en-US" w:eastAsia="zh-CN"/>
        </w:rPr>
        <w:t>构建完善</w:t>
      </w:r>
      <w:r>
        <w:rPr>
          <w:rFonts w:hint="default"/>
          <w:color w:val="auto"/>
        </w:rPr>
        <w:t>与香港北部都会区</w:t>
      </w:r>
      <w:r>
        <w:rPr>
          <w:rFonts w:hint="eastAsia"/>
          <w:color w:val="auto"/>
          <w:lang w:val="en-US" w:eastAsia="zh-CN"/>
        </w:rPr>
        <w:t>的</w:t>
      </w:r>
      <w:r>
        <w:rPr>
          <w:rFonts w:hint="default"/>
          <w:color w:val="auto"/>
        </w:rPr>
        <w:t>科研对接机制，</w:t>
      </w:r>
      <w:r>
        <w:rPr>
          <w:rFonts w:hint="eastAsia"/>
          <w:color w:val="auto"/>
          <w:lang w:val="en-US" w:eastAsia="zh-CN"/>
        </w:rPr>
        <w:t>支持</w:t>
      </w:r>
      <w:r>
        <w:rPr>
          <w:rFonts w:hint="default"/>
          <w:color w:val="auto"/>
        </w:rPr>
        <w:t>科研资金</w:t>
      </w:r>
      <w:r>
        <w:rPr>
          <w:rFonts w:hint="eastAsia"/>
          <w:color w:val="auto"/>
          <w:lang w:val="en-US" w:eastAsia="zh-CN"/>
        </w:rPr>
        <w:t>更顺畅</w:t>
      </w:r>
      <w:r>
        <w:rPr>
          <w:rFonts w:hint="default"/>
          <w:color w:val="auto"/>
        </w:rPr>
        <w:t>跨境流动，</w:t>
      </w:r>
      <w:r>
        <w:rPr>
          <w:rFonts w:hint="eastAsia"/>
          <w:color w:val="auto"/>
          <w:lang w:val="en-US" w:eastAsia="zh-CN"/>
        </w:rPr>
        <w:t>促进金融科技研发成果加快转化。</w:t>
      </w:r>
    </w:p>
    <w:p>
      <w:pPr>
        <w:pageBreakBefore w:val="0"/>
        <w:widowControl w:val="0"/>
        <w:kinsoku/>
        <w:wordWrap/>
        <w:overflowPunct/>
        <w:topLinePunct w:val="0"/>
        <w:autoSpaceDE/>
        <w:autoSpaceDN/>
        <w:bidi w:val="0"/>
        <w:adjustRightInd/>
        <w:spacing w:line="560" w:lineRule="exact"/>
        <w:textAlignment w:val="auto"/>
        <w:rPr>
          <w:rFonts w:hint="default"/>
          <w:lang w:val="en-US" w:eastAsia="zh-CN"/>
        </w:rPr>
      </w:pPr>
      <w:bookmarkStart w:id="43" w:name="_Toc31894"/>
      <w:r>
        <w:rPr>
          <w:rFonts w:hint="eastAsia"/>
          <w:b/>
          <w:bCs/>
          <w:lang w:val="en-US" w:eastAsia="zh-CN"/>
        </w:rPr>
        <w:t>3.</w:t>
      </w:r>
      <w:r>
        <w:rPr>
          <w:rFonts w:hint="default"/>
          <w:b/>
          <w:bCs/>
          <w:lang w:val="en-US" w:eastAsia="zh-CN"/>
        </w:rPr>
        <w:t>鼓励新兴技术在金融领域加速落地</w:t>
      </w:r>
      <w:bookmarkEnd w:id="43"/>
      <w:r>
        <w:rPr>
          <w:rFonts w:hint="eastAsia"/>
          <w:b/>
          <w:bCs/>
          <w:lang w:val="en-US" w:eastAsia="zh-CN"/>
        </w:rPr>
        <w:t>。</w:t>
      </w:r>
      <w:r>
        <w:rPr>
          <w:rFonts w:hint="default"/>
          <w:lang w:val="en-US" w:eastAsia="zh-CN"/>
        </w:rPr>
        <w:t>鼓励多方安全计算、联邦学习等技术加快落地，在保障信息交换安全、保护终端数据和个人数据隐私等方面发挥更多作用。</w:t>
      </w:r>
      <w:r>
        <w:rPr>
          <w:rFonts w:hint="eastAsia"/>
          <w:lang w:val="en-US" w:eastAsia="zh-CN"/>
        </w:rPr>
        <w:t>充分发挥区块链技术低成本互信、数据不可篡改、信息可追溯的优势，通过分布式账本、智能合约、共识机制等手段，为供应链金融、贸易金融等提供底层基础支撑。支持综合运用5G、物联网、射频识别等技术，架设安全泛在的金融网络。同时，着力</w:t>
      </w:r>
      <w:r>
        <w:rPr>
          <w:rFonts w:hint="default"/>
          <w:lang w:val="en-US" w:eastAsia="zh-CN"/>
        </w:rPr>
        <w:t>破除新技术应用的制度性障碍，鼓励</w:t>
      </w:r>
      <w:r>
        <w:rPr>
          <w:rFonts w:hint="eastAsia"/>
          <w:lang w:val="en-US" w:eastAsia="zh-CN"/>
        </w:rPr>
        <w:t>依托“监管沙盒”等开展创新技术小规模测试，推动</w:t>
      </w:r>
      <w:r>
        <w:rPr>
          <w:rFonts w:hint="default"/>
          <w:lang w:val="en-US" w:eastAsia="zh-CN"/>
        </w:rPr>
        <w:t>符合监管标准的</w:t>
      </w:r>
      <w:r>
        <w:rPr>
          <w:rFonts w:hint="eastAsia"/>
          <w:lang w:val="en-US" w:eastAsia="zh-CN"/>
        </w:rPr>
        <w:t>成熟技术拓展应用场景。</w:t>
      </w:r>
    </w:p>
    <w:p>
      <w:pPr>
        <w:pStyle w:val="4"/>
        <w:pageBreakBefore w:val="0"/>
        <w:widowControl w:val="0"/>
        <w:kinsoku/>
        <w:wordWrap/>
        <w:overflowPunct/>
        <w:topLinePunct w:val="0"/>
        <w:autoSpaceDE/>
        <w:autoSpaceDN/>
        <w:bidi w:val="0"/>
        <w:adjustRightInd/>
        <w:snapToGrid/>
        <w:spacing w:line="560" w:lineRule="exact"/>
        <w:textAlignment w:val="auto"/>
        <w:rPr>
          <w:rFonts w:hint="default"/>
          <w:color w:val="auto"/>
          <w:lang w:eastAsia="zh-CN"/>
        </w:rPr>
      </w:pPr>
      <w:bookmarkStart w:id="44" w:name="_Toc1194687781"/>
      <w:bookmarkStart w:id="45" w:name="_Toc227"/>
      <w:bookmarkStart w:id="46" w:name="_Toc1155"/>
      <w:r>
        <w:rPr>
          <w:rFonts w:hint="eastAsia"/>
          <w:color w:val="auto"/>
          <w:lang w:eastAsia="zh-CN"/>
        </w:rPr>
        <w:t>（</w:t>
      </w:r>
      <w:r>
        <w:rPr>
          <w:rFonts w:hint="eastAsia"/>
          <w:color w:val="auto"/>
          <w:lang w:val="en-US" w:eastAsia="zh-CN"/>
        </w:rPr>
        <w:t>五</w:t>
      </w:r>
      <w:r>
        <w:rPr>
          <w:rFonts w:hint="eastAsia"/>
          <w:color w:val="auto"/>
          <w:lang w:eastAsia="zh-CN"/>
        </w:rPr>
        <w:t>）</w:t>
      </w:r>
      <w:r>
        <w:rPr>
          <w:rFonts w:hint="eastAsia"/>
          <w:color w:val="auto"/>
          <w:lang w:val="en-US" w:eastAsia="zh-CN"/>
        </w:rPr>
        <w:t>加强</w:t>
      </w:r>
      <w:r>
        <w:rPr>
          <w:rFonts w:hint="default"/>
          <w:color w:val="auto"/>
          <w:lang w:eastAsia="zh-CN"/>
        </w:rPr>
        <w:t>金融科技</w:t>
      </w:r>
      <w:r>
        <w:rPr>
          <w:rFonts w:hint="eastAsia"/>
          <w:color w:val="auto"/>
          <w:lang w:eastAsia="zh-CN"/>
        </w:rPr>
        <w:t>专业</w:t>
      </w:r>
      <w:r>
        <w:rPr>
          <w:rFonts w:hint="default"/>
          <w:color w:val="auto"/>
          <w:lang w:eastAsia="zh-CN"/>
        </w:rPr>
        <w:t>人才</w:t>
      </w:r>
      <w:r>
        <w:rPr>
          <w:rFonts w:hint="eastAsia"/>
          <w:color w:val="auto"/>
          <w:lang w:val="en-US" w:eastAsia="zh-CN"/>
        </w:rPr>
        <w:t>培养</w:t>
      </w:r>
      <w:bookmarkEnd w:id="44"/>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eastAsia="仿宋_GB2312"/>
          <w:color w:val="auto"/>
          <w:lang w:val="en-US" w:eastAsia="zh-CN"/>
        </w:rPr>
      </w:pPr>
      <w:bookmarkStart w:id="47" w:name="_Toc28679"/>
      <w:r>
        <w:rPr>
          <w:rFonts w:hint="eastAsia"/>
          <w:b/>
          <w:bCs/>
          <w:color w:val="auto"/>
          <w:lang w:val="en-US" w:eastAsia="zh-CN"/>
        </w:rPr>
        <w:t>1.完善</w:t>
      </w:r>
      <w:r>
        <w:rPr>
          <w:rFonts w:hint="default"/>
          <w:b/>
          <w:bCs/>
          <w:color w:val="auto"/>
        </w:rPr>
        <w:t>金融科技人才</w:t>
      </w:r>
      <w:r>
        <w:rPr>
          <w:rFonts w:hint="eastAsia"/>
          <w:b/>
          <w:bCs/>
          <w:color w:val="auto"/>
          <w:lang w:val="en-US" w:eastAsia="zh-CN"/>
        </w:rPr>
        <w:t>政策</w:t>
      </w:r>
      <w:r>
        <w:rPr>
          <w:rFonts w:hint="default"/>
          <w:b/>
          <w:bCs/>
          <w:color w:val="auto"/>
        </w:rPr>
        <w:t>体系</w:t>
      </w:r>
      <w:r>
        <w:rPr>
          <w:rFonts w:hint="eastAsia"/>
          <w:b/>
          <w:bCs/>
          <w:color w:val="auto"/>
          <w:lang w:eastAsia="zh-CN"/>
        </w:rPr>
        <w:t>。</w:t>
      </w:r>
      <w:r>
        <w:rPr>
          <w:rFonts w:hint="eastAsia"/>
          <w:b w:val="0"/>
          <w:bCs w:val="0"/>
          <w:color w:val="auto"/>
          <w:lang w:val="en-US" w:eastAsia="zh-CN"/>
        </w:rPr>
        <w:t>落实《深圳市支持金融人才发展的实施办法》等政策，</w:t>
      </w:r>
      <w:r>
        <w:rPr>
          <w:rFonts w:hint="eastAsia" w:ascii="仿宋_GB2312" w:hAnsi="仿宋_GB2312" w:eastAsia="仿宋_GB2312" w:cstheme="minorBidi"/>
          <w:b w:val="0"/>
          <w:bCs w:val="0"/>
          <w:color w:val="auto"/>
          <w:kern w:val="2"/>
          <w:sz w:val="32"/>
          <w:szCs w:val="22"/>
          <w:lang w:val="en-US" w:eastAsia="zh-CN" w:bidi="ar-SA"/>
        </w:rPr>
        <w:t>结合深圳市百千万金融人才培养工程，</w:t>
      </w:r>
      <w:r>
        <w:rPr>
          <w:rFonts w:hint="eastAsia" w:cstheme="minorBidi"/>
          <w:b w:val="0"/>
          <w:bCs w:val="0"/>
          <w:color w:val="auto"/>
          <w:kern w:val="2"/>
          <w:sz w:val="32"/>
          <w:szCs w:val="22"/>
          <w:lang w:val="en-US" w:eastAsia="zh-CN" w:bidi="ar-SA"/>
        </w:rPr>
        <w:t>加强金融科技领域领军人才、骨干人才、青年人才等分类分步培养</w:t>
      </w:r>
      <w:bookmarkEnd w:id="47"/>
      <w:r>
        <w:rPr>
          <w:rFonts w:hint="default"/>
          <w:color w:val="auto"/>
        </w:rPr>
        <w:t>。</w:t>
      </w:r>
      <w:r>
        <w:rPr>
          <w:rFonts w:hint="eastAsia"/>
          <w:color w:val="auto"/>
          <w:lang w:val="en-US" w:eastAsia="zh-CN"/>
        </w:rPr>
        <w:t>支持各区</w:t>
      </w:r>
      <w:r>
        <w:rPr>
          <w:rFonts w:hint="default"/>
          <w:color w:val="auto"/>
        </w:rPr>
        <w:t>制定实施有利于</w:t>
      </w:r>
      <w:r>
        <w:rPr>
          <w:rFonts w:hint="eastAsia"/>
          <w:color w:val="auto"/>
          <w:lang w:val="en-US" w:eastAsia="zh-CN"/>
        </w:rPr>
        <w:t>金融科技</w:t>
      </w:r>
      <w:r>
        <w:rPr>
          <w:rFonts w:hint="default"/>
          <w:color w:val="auto"/>
        </w:rPr>
        <w:t>发展的人才专项政策，</w:t>
      </w:r>
      <w:r>
        <w:rPr>
          <w:rFonts w:hint="eastAsia"/>
          <w:color w:val="auto"/>
          <w:lang w:val="en-US" w:eastAsia="zh-CN"/>
        </w:rPr>
        <w:t>通过</w:t>
      </w:r>
      <w:r>
        <w:rPr>
          <w:rFonts w:hint="default"/>
          <w:color w:val="auto"/>
        </w:rPr>
        <w:t>各类引才引智计划，</w:t>
      </w:r>
      <w:r>
        <w:rPr>
          <w:rFonts w:hint="eastAsia"/>
          <w:color w:val="auto"/>
          <w:lang w:val="en-US" w:eastAsia="zh-CN"/>
        </w:rPr>
        <w:t>培育引进一批高层次和急需紧缺金融科技专业人才。支持各区采取具有竞争力的金融科技人才激励措施，对金融科技高端人才在签证办理、人才引进、就业许可、资格认证、人才住房申请等方面提供一站式服务，并加强优质便利化的生活配套设施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_GB2312"/>
          <w:color w:val="auto"/>
          <w:lang w:eastAsia="zh-CN"/>
        </w:rPr>
      </w:pPr>
      <w:bookmarkStart w:id="48" w:name="_Toc4611"/>
      <w:r>
        <w:rPr>
          <w:rFonts w:hint="eastAsia"/>
          <w:b/>
          <w:bCs/>
          <w:color w:val="auto"/>
          <w:lang w:val="en-US" w:eastAsia="zh-CN"/>
        </w:rPr>
        <w:t>2.深入推进</w:t>
      </w:r>
      <w:r>
        <w:rPr>
          <w:rFonts w:hint="default"/>
          <w:b/>
          <w:bCs/>
          <w:color w:val="auto"/>
        </w:rPr>
        <w:t>深港澳金融科技师专才计划</w:t>
      </w:r>
      <w:bookmarkEnd w:id="48"/>
      <w:r>
        <w:rPr>
          <w:rFonts w:hint="eastAsia"/>
          <w:b/>
          <w:bCs/>
          <w:color w:val="auto"/>
          <w:lang w:eastAsia="zh-CN"/>
        </w:rPr>
        <w:t>。</w:t>
      </w:r>
      <w:r>
        <w:rPr>
          <w:rFonts w:hint="eastAsia"/>
          <w:color w:val="auto"/>
          <w:lang w:val="en-US" w:eastAsia="zh-CN"/>
        </w:rPr>
        <w:t>引导推动</w:t>
      </w:r>
      <w:r>
        <w:rPr>
          <w:rFonts w:hint="eastAsia"/>
          <w:color w:val="auto"/>
          <w:lang w:eastAsia="zh-CN"/>
        </w:rPr>
        <w:t>“</w:t>
      </w:r>
      <w:r>
        <w:rPr>
          <w:rFonts w:hint="default"/>
          <w:color w:val="auto"/>
        </w:rPr>
        <w:t>深港澳金融科技师专才计划</w:t>
      </w:r>
      <w:r>
        <w:rPr>
          <w:rFonts w:hint="eastAsia"/>
          <w:color w:val="auto"/>
          <w:lang w:eastAsia="zh-CN"/>
        </w:rPr>
        <w:t>”</w:t>
      </w:r>
      <w:r>
        <w:rPr>
          <w:rFonts w:hint="default"/>
          <w:color w:val="auto"/>
        </w:rPr>
        <w:t>进一步完善课程体系、优化课程结构、丰富课程内容、提高测评质量，</w:t>
      </w:r>
      <w:r>
        <w:rPr>
          <w:rFonts w:hint="eastAsia"/>
          <w:color w:val="auto"/>
          <w:lang w:val="en-US" w:eastAsia="zh-CN"/>
        </w:rPr>
        <w:t>建立健全多层次的培训、考试和认证体系。充分</w:t>
      </w:r>
      <w:r>
        <w:rPr>
          <w:rFonts w:hint="eastAsia"/>
          <w:b w:val="0"/>
          <w:bCs w:val="0"/>
          <w:color w:val="auto"/>
          <w:lang w:val="en-US" w:eastAsia="zh-CN"/>
        </w:rPr>
        <w:t>发挥金融科技专项政策的激励功能，鼓励</w:t>
      </w:r>
      <w:r>
        <w:rPr>
          <w:rFonts w:hint="eastAsia"/>
          <w:lang w:eastAsia="zh-CN"/>
        </w:rPr>
        <w:t>金融机构制定金融科技人才和团队建设规划，合理增加金融科技人员比例，优化金融从业人员结构；</w:t>
      </w:r>
      <w:r>
        <w:rPr>
          <w:rFonts w:hint="eastAsia"/>
          <w:lang w:val="en-US" w:eastAsia="zh-CN"/>
        </w:rPr>
        <w:t>支持依托行业协会、高等院校、龙头企业、专业培训机构等不断完善更新项目知识体系，加强</w:t>
      </w:r>
      <w:r>
        <w:rPr>
          <w:rFonts w:hint="default"/>
          <w:color w:val="auto"/>
        </w:rPr>
        <w:t>考试系统、培训系统</w:t>
      </w:r>
      <w:r>
        <w:rPr>
          <w:rFonts w:hint="eastAsia"/>
          <w:color w:val="auto"/>
          <w:lang w:eastAsia="zh-CN"/>
        </w:rPr>
        <w:t>、</w:t>
      </w:r>
      <w:r>
        <w:rPr>
          <w:rFonts w:hint="default"/>
          <w:color w:val="auto"/>
        </w:rPr>
        <w:t>数字化认证</w:t>
      </w:r>
      <w:r>
        <w:rPr>
          <w:rFonts w:hint="eastAsia"/>
          <w:color w:val="auto"/>
          <w:lang w:val="en-US" w:eastAsia="zh-CN"/>
        </w:rPr>
        <w:t>等</w:t>
      </w:r>
      <w:r>
        <w:rPr>
          <w:rFonts w:hint="default"/>
          <w:color w:val="auto"/>
        </w:rPr>
        <w:t>信息化建设，分步骤</w:t>
      </w:r>
      <w:r>
        <w:rPr>
          <w:rFonts w:hint="eastAsia"/>
          <w:color w:val="auto"/>
          <w:lang w:val="en-US" w:eastAsia="zh-CN"/>
        </w:rPr>
        <w:t>探索推进高校课程学分、考试结果互认等试点，鼓励编写多语种教材课件和教学案例，有序加大宣传推广力度</w:t>
      </w:r>
      <w:r>
        <w:rPr>
          <w:rFonts w:hint="default"/>
          <w:color w:val="auto"/>
        </w:rPr>
        <w:t>。</w:t>
      </w:r>
    </w:p>
    <w:tbl>
      <w:tblPr>
        <w:tblStyle w:val="15"/>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5" w:type="dxa"/>
            <w:tcMar>
              <w:top w:w="57" w:type="dxa"/>
              <w:left w:w="170" w:type="dxa"/>
              <w:bottom w:w="57" w:type="dxa"/>
              <w:right w:w="170" w:type="dxa"/>
            </w:tcMar>
            <w:vAlign w:val="top"/>
          </w:tcPr>
          <w:p>
            <w:pPr>
              <w:pStyle w:val="2"/>
              <w:keepNext w:val="0"/>
              <w:keepLines w:val="0"/>
              <w:pageBreakBefore w:val="0"/>
              <w:widowControl w:val="0"/>
              <w:kinsoku/>
              <w:wordWrap/>
              <w:overflowPunct/>
              <w:topLinePunct w:val="0"/>
              <w:autoSpaceDE/>
              <w:autoSpaceDN/>
              <w:bidi w:val="0"/>
              <w:adjustRightInd/>
              <w:snapToGrid w:val="0"/>
              <w:spacing w:before="219" w:beforeLines="50" w:after="110" w:afterLines="25" w:line="440" w:lineRule="exact"/>
              <w:ind w:left="0" w:leftChars="0" w:firstLine="0" w:firstLineChars="0"/>
              <w:jc w:val="both"/>
              <w:textAlignment w:val="baseline"/>
              <w:rPr>
                <w:rFonts w:hint="eastAsia"/>
                <w:sz w:val="28"/>
                <w:szCs w:val="21"/>
                <w:lang w:val="en-US" w:eastAsia="zh-CN"/>
              </w:rPr>
            </w:pPr>
            <w:bookmarkStart w:id="49" w:name="_Toc29513"/>
            <w:r>
              <w:rPr>
                <w:rFonts w:hint="eastAsia"/>
                <w:b/>
                <w:bCs/>
                <w:sz w:val="28"/>
                <w:szCs w:val="21"/>
                <w:lang w:val="en-US" w:eastAsia="zh-CN"/>
              </w:rPr>
              <w:t>专栏4：深港澳金融科技师专才计划</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ascii="楷体_GB2312" w:hAnsi="楷体_GB2312" w:eastAsia="楷体_GB2312" w:cs="楷体_GB2312"/>
                <w:spacing w:val="-6"/>
                <w:sz w:val="28"/>
                <w:szCs w:val="21"/>
                <w:lang w:val="en-US" w:eastAsia="zh-CN"/>
              </w:rPr>
            </w:pPr>
            <w:r>
              <w:rPr>
                <w:rFonts w:hint="eastAsia" w:ascii="楷体_GB2312" w:hAnsi="楷体_GB2312" w:eastAsia="楷体_GB2312" w:cs="楷体_GB2312"/>
                <w:spacing w:val="-6"/>
                <w:sz w:val="28"/>
                <w:szCs w:val="21"/>
                <w:lang w:val="en-US" w:eastAsia="zh-CN"/>
              </w:rPr>
              <w:t>2019年3月，深港澳金融监管部门等协商一致，在借鉴特许金融分析师（CFA）和金融风险管理师（FRM）等资格考试体系的基础上，依托行业协会、高等院校和科研院所，在国内率先启动“深港澳金融科技师”专才计划（Shenzhen-Hongkong-Macau FinTech Professional Programme，SHMFTPP），已顺利运行三年多，共组织了4次一级考试和1次二级考试、5次一级培训和1次二级培训，产生了1376名一级持证人和75名二级持证人，实现了从无到有、从小到大的成长发展，正逐步成长为支撑粤港澳大湾区金融科技生态的重要人才基础平台。</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ascii="楷体_GB2312" w:hAnsi="楷体_GB2312" w:eastAsia="楷体_GB2312" w:cs="楷体_GB2312"/>
                <w:spacing w:val="-6"/>
                <w:sz w:val="28"/>
                <w:szCs w:val="21"/>
                <w:lang w:val="en-US" w:eastAsia="zh-CN"/>
              </w:rPr>
            </w:pPr>
            <w:r>
              <w:rPr>
                <w:rFonts w:hint="eastAsia" w:ascii="楷体_GB2312" w:hAnsi="楷体_GB2312" w:eastAsia="楷体_GB2312" w:cs="楷体_GB2312"/>
                <w:spacing w:val="-6"/>
                <w:sz w:val="28"/>
                <w:szCs w:val="21"/>
                <w:lang w:val="en-US" w:eastAsia="zh-CN"/>
              </w:rPr>
              <w:t>作为深港澳三地携手推动的专业人才培养机制，“深港澳金融科技师”专才计划主要特点有：</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ascii="楷体_GB2312" w:hAnsi="楷体_GB2312" w:eastAsia="楷体_GB2312" w:cs="楷体_GB2312"/>
                <w:spacing w:val="-6"/>
                <w:sz w:val="28"/>
                <w:szCs w:val="21"/>
                <w:lang w:val="en-US" w:eastAsia="zh-CN"/>
              </w:rPr>
            </w:pPr>
            <w:r>
              <w:rPr>
                <w:rFonts w:hint="eastAsia" w:ascii="楷体_GB2312" w:hAnsi="楷体_GB2312" w:eastAsia="楷体_GB2312" w:cs="楷体_GB2312"/>
                <w:b/>
                <w:bCs/>
                <w:spacing w:val="-6"/>
                <w:sz w:val="28"/>
                <w:szCs w:val="21"/>
                <w:lang w:val="en-US" w:eastAsia="zh-CN"/>
              </w:rPr>
              <w:t>一是</w:t>
            </w:r>
            <w:r>
              <w:rPr>
                <w:rFonts w:hint="eastAsia" w:ascii="楷体_GB2312" w:hAnsi="楷体_GB2312" w:eastAsia="楷体_GB2312" w:cs="楷体_GB2312"/>
                <w:spacing w:val="-6"/>
                <w:sz w:val="28"/>
                <w:szCs w:val="21"/>
                <w:lang w:val="en-US" w:eastAsia="zh-CN"/>
              </w:rPr>
              <w:t>政府指导、市场主导，形成跨城市及政商学界等多方联动合力。2019年3月，深圳市地方金融监督管理局联合香港财库局、香港金管局、澳门金管局、人民银行深圳市中心支行、深圳银保监局、深圳证监局等单位共同指导，深圳证券交易所、平安集团、招商银行、北大汇丰商学院、南方科技大学、澳门大学等35家产业、学术和研究单位共同发起，充分体现了业界合力。</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ascii="楷体_GB2312" w:hAnsi="楷体_GB2312" w:eastAsia="楷体_GB2312" w:cs="楷体_GB2312"/>
                <w:spacing w:val="-6"/>
                <w:sz w:val="28"/>
                <w:szCs w:val="21"/>
                <w:lang w:val="en-US" w:eastAsia="zh-CN"/>
              </w:rPr>
            </w:pPr>
            <w:r>
              <w:rPr>
                <w:rFonts w:hint="eastAsia" w:ascii="楷体_GB2312" w:hAnsi="楷体_GB2312" w:eastAsia="楷体_GB2312" w:cs="楷体_GB2312"/>
                <w:b/>
                <w:bCs/>
                <w:spacing w:val="-6"/>
                <w:sz w:val="28"/>
                <w:szCs w:val="21"/>
                <w:lang w:val="en-US" w:eastAsia="zh-CN"/>
              </w:rPr>
              <w:t>二是</w:t>
            </w:r>
            <w:r>
              <w:rPr>
                <w:rFonts w:hint="eastAsia" w:ascii="楷体_GB2312" w:hAnsi="楷体_GB2312" w:eastAsia="楷体_GB2312" w:cs="楷体_GB2312"/>
                <w:spacing w:val="-6"/>
                <w:sz w:val="28"/>
                <w:szCs w:val="21"/>
                <w:lang w:val="en-US" w:eastAsia="zh-CN"/>
              </w:rPr>
              <w:t>把道德伦理培训教育放在重要位置，引导行业守正创新。“深港澳金融科技师”专才计划自启动之初，就把从业人员的金融科技伦理意识和道德素养摆在培训和认证的重要位置，密切联动深圳市金融科技伦理委员会等专业组织，组织专家调研讨论金融科技伦理失范的典型案例，面向行业发布伦理宣言、推动完善治理体系，编写伦理通识教材并开展培训。同时，在考试环节对伦理模块单独计分，设置最低正确率要求，并实行“一票否决”，以高伦理素养的从业人员保障行业守正创新。</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lang w:val="en-US" w:eastAsia="zh-CN"/>
              </w:rPr>
            </w:pPr>
            <w:r>
              <w:rPr>
                <w:rFonts w:hint="eastAsia" w:ascii="楷体_GB2312" w:hAnsi="楷体_GB2312" w:eastAsia="楷体_GB2312" w:cs="楷体_GB2312"/>
                <w:b/>
                <w:bCs/>
                <w:spacing w:val="-6"/>
                <w:sz w:val="28"/>
                <w:szCs w:val="21"/>
                <w:lang w:val="en-US" w:eastAsia="zh-CN"/>
              </w:rPr>
              <w:t>三是</w:t>
            </w:r>
            <w:r>
              <w:rPr>
                <w:rFonts w:hint="eastAsia" w:ascii="楷体_GB2312" w:hAnsi="楷体_GB2312" w:eastAsia="楷体_GB2312" w:cs="楷体_GB2312"/>
                <w:spacing w:val="-6"/>
                <w:sz w:val="28"/>
                <w:szCs w:val="21"/>
                <w:lang w:val="en-US" w:eastAsia="zh-CN"/>
              </w:rPr>
              <w:t>加强数字技术场景应用，突出技术赋能特色。自启动以来，特别是在2020年初以来新冠疫情肆虐的背景下，“深港澳金融科技师”专才计划创新应用数字技术保证了培训、考试、认证各项工作的正常运转，开发了技术先进、用户友好的考试系统，部署了行业认可、公正权威的电子证书认证系统，通过技术赋能，不断完善金融科技人才培养和资质认证的体制机制。</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theme="minorBidi"/>
          <w:b w:val="0"/>
          <w:bCs w:val="0"/>
          <w:color w:val="auto"/>
          <w:kern w:val="2"/>
          <w:sz w:val="32"/>
          <w:szCs w:val="22"/>
          <w:lang w:val="en-US" w:eastAsia="zh-CN" w:bidi="ar-SA"/>
        </w:rPr>
      </w:pPr>
      <w:r>
        <w:rPr>
          <w:rFonts w:hint="eastAsia"/>
          <w:b/>
          <w:bCs/>
          <w:color w:val="auto"/>
          <w:lang w:val="en-US" w:eastAsia="zh-CN"/>
        </w:rPr>
        <w:t>3.构建</w:t>
      </w:r>
      <w:r>
        <w:rPr>
          <w:rFonts w:hint="default"/>
          <w:b/>
          <w:bCs/>
          <w:color w:val="auto"/>
        </w:rPr>
        <w:t>政产学研人才</w:t>
      </w:r>
      <w:r>
        <w:rPr>
          <w:rFonts w:hint="eastAsia"/>
          <w:b/>
          <w:bCs/>
          <w:color w:val="auto"/>
          <w:lang w:val="en-US" w:eastAsia="zh-CN"/>
        </w:rPr>
        <w:t>联合</w:t>
      </w:r>
      <w:r>
        <w:rPr>
          <w:rFonts w:hint="default"/>
          <w:b/>
          <w:bCs/>
          <w:color w:val="auto"/>
        </w:rPr>
        <w:t>培养</w:t>
      </w:r>
      <w:bookmarkEnd w:id="49"/>
      <w:r>
        <w:rPr>
          <w:rFonts w:hint="eastAsia"/>
          <w:b/>
          <w:bCs/>
          <w:color w:val="auto"/>
          <w:lang w:val="en-US" w:eastAsia="zh-CN"/>
        </w:rPr>
        <w:t>机制</w:t>
      </w:r>
      <w:r>
        <w:rPr>
          <w:rFonts w:hint="eastAsia"/>
          <w:b/>
          <w:bCs/>
          <w:color w:val="auto"/>
          <w:lang w:eastAsia="zh-CN"/>
        </w:rPr>
        <w:t>。</w:t>
      </w:r>
      <w:r>
        <w:rPr>
          <w:rFonts w:hint="default"/>
          <w:color w:val="auto"/>
        </w:rPr>
        <w:t>鼓励</w:t>
      </w:r>
      <w:r>
        <w:rPr>
          <w:rFonts w:hint="eastAsia"/>
          <w:color w:val="auto"/>
          <w:lang w:val="en-US" w:eastAsia="zh-CN"/>
        </w:rPr>
        <w:t>在深高校</w:t>
      </w:r>
      <w:r>
        <w:rPr>
          <w:rFonts w:hint="default"/>
          <w:color w:val="auto"/>
        </w:rPr>
        <w:t>开设金融科技专业，加强校企合作，</w:t>
      </w:r>
      <w:r>
        <w:rPr>
          <w:rFonts w:hint="eastAsia"/>
          <w:color w:val="auto"/>
          <w:lang w:val="en-US" w:eastAsia="zh-CN"/>
        </w:rPr>
        <w:t>共同开发</w:t>
      </w:r>
      <w:r>
        <w:rPr>
          <w:rFonts w:hint="default"/>
          <w:color w:val="auto"/>
        </w:rPr>
        <w:t>大数据、</w:t>
      </w:r>
      <w:r>
        <w:rPr>
          <w:rFonts w:hint="eastAsia"/>
          <w:color w:val="auto"/>
          <w:lang w:val="en-US" w:eastAsia="zh-CN"/>
        </w:rPr>
        <w:t>区块链、</w:t>
      </w:r>
      <w:r>
        <w:rPr>
          <w:rFonts w:hint="default"/>
          <w:color w:val="auto"/>
        </w:rPr>
        <w:t>云计算、数据挖掘、机器学习</w:t>
      </w:r>
      <w:r>
        <w:rPr>
          <w:rFonts w:hint="eastAsia"/>
          <w:color w:val="auto"/>
          <w:lang w:eastAsia="zh-CN"/>
        </w:rPr>
        <w:t>、</w:t>
      </w:r>
      <w:r>
        <w:rPr>
          <w:rFonts w:hint="eastAsia"/>
          <w:color w:val="auto"/>
          <w:lang w:val="en-US" w:eastAsia="zh-CN"/>
        </w:rPr>
        <w:t>智慧风控</w:t>
      </w:r>
      <w:r>
        <w:rPr>
          <w:rFonts w:hint="default"/>
          <w:color w:val="auto"/>
        </w:rPr>
        <w:t>等</w:t>
      </w:r>
      <w:r>
        <w:rPr>
          <w:rFonts w:hint="eastAsia"/>
          <w:color w:val="auto"/>
          <w:lang w:val="en-US" w:eastAsia="zh-CN"/>
        </w:rPr>
        <w:t>新课程，</w:t>
      </w:r>
      <w:r>
        <w:rPr>
          <w:rFonts w:hint="default"/>
          <w:color w:val="auto"/>
        </w:rPr>
        <w:t>培养</w:t>
      </w:r>
      <w:r>
        <w:rPr>
          <w:rFonts w:hint="eastAsia"/>
          <w:color w:val="auto"/>
          <w:lang w:val="en-US" w:eastAsia="zh-CN"/>
        </w:rPr>
        <w:t>既通晓金融理论与实务，又掌握数据科学、网络技术，具备较强实操和创新能力的金融科技复合型人才。鼓励本市金融科技机构与高校合作设立大学生实习基地，支持按规定申请博士后工作站、创新实践基地，认定一批市级金融科技大学生实习基地。支持政府部门、行业协会、金融机构、科技企业、高等院校等共同开展金融科技课题研究或培训交流活动，推动建</w:t>
      </w:r>
      <w:r>
        <w:rPr>
          <w:rFonts w:hint="default"/>
          <w:color w:val="auto"/>
        </w:rPr>
        <w:t>立顺畅</w:t>
      </w:r>
      <w:r>
        <w:rPr>
          <w:rFonts w:hint="eastAsia"/>
          <w:color w:val="auto"/>
          <w:lang w:val="en-US" w:eastAsia="zh-CN"/>
        </w:rPr>
        <w:t>的</w:t>
      </w:r>
      <w:r>
        <w:rPr>
          <w:rFonts w:hint="default"/>
          <w:color w:val="auto"/>
        </w:rPr>
        <w:t>合作机制。</w:t>
      </w:r>
      <w:r>
        <w:rPr>
          <w:rFonts w:hint="eastAsia"/>
          <w:color w:val="auto"/>
          <w:lang w:val="en-US" w:eastAsia="zh-CN"/>
        </w:rPr>
        <w:t>鼓励定期举办金融科技人才节、人才季、招聘周、夏令营等活动，通过丰富多样的形式吸引优秀金融科技人才集聚。</w:t>
      </w:r>
    </w:p>
    <w:p>
      <w:pPr>
        <w:pStyle w:val="4"/>
        <w:pageBreakBefore w:val="0"/>
        <w:widowControl w:val="0"/>
        <w:kinsoku/>
        <w:wordWrap/>
        <w:overflowPunct/>
        <w:topLinePunct w:val="0"/>
        <w:autoSpaceDE/>
        <w:autoSpaceDN/>
        <w:bidi w:val="0"/>
        <w:adjustRightInd/>
        <w:snapToGrid/>
        <w:spacing w:line="560" w:lineRule="exact"/>
        <w:textAlignment w:val="auto"/>
        <w:rPr>
          <w:rFonts w:hint="default"/>
          <w:color w:val="auto"/>
          <w:lang w:eastAsia="zh-CN"/>
        </w:rPr>
      </w:pPr>
      <w:bookmarkStart w:id="50" w:name="_Toc1598461119"/>
      <w:r>
        <w:rPr>
          <w:rFonts w:hint="eastAsia"/>
          <w:color w:val="auto"/>
          <w:lang w:eastAsia="zh-CN"/>
        </w:rPr>
        <w:t>（</w:t>
      </w:r>
      <w:r>
        <w:rPr>
          <w:rFonts w:hint="eastAsia"/>
          <w:color w:val="auto"/>
          <w:lang w:val="en-US" w:eastAsia="zh-CN"/>
        </w:rPr>
        <w:t>六）健全</w:t>
      </w:r>
      <w:r>
        <w:rPr>
          <w:rFonts w:hint="default"/>
          <w:color w:val="auto"/>
          <w:lang w:eastAsia="zh-CN"/>
        </w:rPr>
        <w:t>金融科技投融资体系</w:t>
      </w:r>
      <w:bookmarkEnd w:id="45"/>
      <w:bookmarkEnd w:id="46"/>
      <w:bookmarkEnd w:id="5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color w:val="auto"/>
          <w:lang w:val="en-US" w:eastAsia="zh-CN"/>
        </w:rPr>
      </w:pPr>
      <w:bookmarkStart w:id="51" w:name="_Toc30125"/>
      <w:r>
        <w:rPr>
          <w:rFonts w:hint="eastAsia"/>
          <w:b/>
          <w:bCs/>
          <w:color w:val="auto"/>
          <w:lang w:val="en-US" w:eastAsia="zh-CN"/>
        </w:rPr>
        <w:t>1.鼓励为金融科技类企业提供多元化金融服务。</w:t>
      </w:r>
      <w:r>
        <w:rPr>
          <w:rFonts w:hint="eastAsia"/>
          <w:color w:val="auto"/>
          <w:lang w:val="en-US" w:eastAsia="zh-CN"/>
        </w:rPr>
        <w:t>引导金融机构加大对民营、小微金融科技类企业的信贷支持，适当降低贷款保证要求和融资成本，为金融科技产业园区、金融科技核心环节研发平台以及配套服务企业提供有效的信贷支持。支持金融机构为符合条件的金融科技类企业开立自由贸易账户，创新特色金融产品，提供全生命周期的跨境金融服务。支持针对金融科技行业发展需求和特点，加大金融产品和服务创新力度，稳步推进知识产权证券化、投贷联动等试点，发展股权质押、知识产权质押、商标权质押、专利质押等金融业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eastAsia="仿宋_GB2312"/>
          <w:color w:val="auto"/>
          <w:lang w:val="en-US" w:eastAsia="zh-CN"/>
        </w:rPr>
      </w:pPr>
      <w:r>
        <w:rPr>
          <w:rFonts w:hint="eastAsia"/>
          <w:b/>
          <w:bCs/>
          <w:color w:val="auto"/>
          <w:lang w:val="en-US" w:eastAsia="zh-CN"/>
        </w:rPr>
        <w:t>2.</w:t>
      </w:r>
      <w:r>
        <w:rPr>
          <w:rFonts w:hint="default"/>
          <w:b/>
          <w:bCs/>
          <w:color w:val="auto"/>
        </w:rPr>
        <w:t>支持</w:t>
      </w:r>
      <w:r>
        <w:rPr>
          <w:rFonts w:hint="eastAsia"/>
          <w:b/>
          <w:bCs/>
          <w:color w:val="auto"/>
          <w:lang w:eastAsia="zh-CN"/>
        </w:rPr>
        <w:t>金融科技类企业</w:t>
      </w:r>
      <w:r>
        <w:rPr>
          <w:rFonts w:hint="default"/>
          <w:b/>
          <w:bCs/>
          <w:color w:val="auto"/>
        </w:rPr>
        <w:t>对接</w:t>
      </w:r>
      <w:r>
        <w:rPr>
          <w:rFonts w:hint="eastAsia"/>
          <w:b/>
          <w:bCs/>
          <w:color w:val="auto"/>
          <w:lang w:val="en-US" w:eastAsia="zh-CN"/>
        </w:rPr>
        <w:t>多层次</w:t>
      </w:r>
      <w:r>
        <w:rPr>
          <w:rFonts w:hint="default"/>
          <w:b/>
          <w:bCs/>
          <w:color w:val="auto"/>
        </w:rPr>
        <w:t>资本市场</w:t>
      </w:r>
      <w:bookmarkEnd w:id="51"/>
      <w:r>
        <w:rPr>
          <w:rFonts w:hint="eastAsia"/>
          <w:b/>
          <w:bCs/>
          <w:color w:val="auto"/>
          <w:lang w:eastAsia="zh-CN"/>
        </w:rPr>
        <w:t>。</w:t>
      </w:r>
      <w:r>
        <w:rPr>
          <w:rFonts w:hint="eastAsia"/>
          <w:b w:val="0"/>
          <w:bCs w:val="0"/>
          <w:color w:val="auto"/>
          <w:lang w:val="en-US" w:eastAsia="zh-CN"/>
        </w:rPr>
        <w:t>大力推进“星耀鹏城”上市培育计划，支持符合条件的金融科技类企业上市融资</w:t>
      </w:r>
      <w:r>
        <w:rPr>
          <w:rFonts w:hint="default"/>
          <w:color w:val="auto"/>
        </w:rPr>
        <w:t>。</w:t>
      </w:r>
      <w:r>
        <w:rPr>
          <w:rFonts w:hint="eastAsia"/>
          <w:color w:val="auto"/>
          <w:lang w:val="en-US" w:eastAsia="zh-CN"/>
        </w:rPr>
        <w:t>支持</w:t>
      </w:r>
      <w:r>
        <w:rPr>
          <w:rFonts w:hint="eastAsia"/>
          <w:color w:val="auto"/>
          <w:lang w:eastAsia="zh-CN"/>
        </w:rPr>
        <w:t>金融科技类企业</w:t>
      </w:r>
      <w:r>
        <w:rPr>
          <w:rFonts w:hint="default"/>
          <w:color w:val="auto"/>
        </w:rPr>
        <w:t>以基础技术和知识产权运营收入为底层资产</w:t>
      </w:r>
      <w:r>
        <w:rPr>
          <w:rFonts w:hint="eastAsia"/>
          <w:color w:val="auto"/>
          <w:lang w:eastAsia="zh-CN"/>
        </w:rPr>
        <w:t>，</w:t>
      </w:r>
      <w:r>
        <w:rPr>
          <w:rFonts w:hint="eastAsia"/>
          <w:color w:val="auto"/>
          <w:lang w:val="en-US" w:eastAsia="zh-CN"/>
        </w:rPr>
        <w:t>探索</w:t>
      </w:r>
      <w:r>
        <w:rPr>
          <w:rFonts w:hint="default"/>
          <w:color w:val="auto"/>
        </w:rPr>
        <w:t>发行证券化产品。</w:t>
      </w:r>
      <w:r>
        <w:rPr>
          <w:rFonts w:hint="eastAsia"/>
          <w:color w:val="auto"/>
          <w:lang w:val="en-US" w:eastAsia="zh-CN"/>
        </w:rPr>
        <w:t>推动区域性股权市场开展区块链建设试点，利用</w:t>
      </w:r>
      <w:r>
        <w:rPr>
          <w:rFonts w:hint="default"/>
          <w:color w:val="auto"/>
        </w:rPr>
        <w:t>区块链、大数据技术</w:t>
      </w:r>
      <w:r>
        <w:rPr>
          <w:rFonts w:hint="eastAsia"/>
          <w:color w:val="auto"/>
          <w:lang w:val="en-US" w:eastAsia="zh-CN"/>
        </w:rPr>
        <w:t>加强数据共享</w:t>
      </w:r>
      <w:r>
        <w:rPr>
          <w:rFonts w:hint="default"/>
          <w:color w:val="auto"/>
        </w:rPr>
        <w:t>，</w:t>
      </w:r>
      <w:r>
        <w:rPr>
          <w:rFonts w:hint="eastAsia"/>
          <w:color w:val="auto"/>
          <w:lang w:val="en-US" w:eastAsia="zh-CN"/>
        </w:rPr>
        <w:t>提升要素流转衔接效率，更好地服务中小科创企业孵化成长。支持深交所</w:t>
      </w:r>
      <w:r>
        <w:rPr>
          <w:rFonts w:hint="default"/>
          <w:color w:val="auto"/>
          <w:lang w:val="en-US" w:eastAsia="zh-CN"/>
        </w:rPr>
        <w:t>燧石星火</w:t>
      </w:r>
      <w:r>
        <w:rPr>
          <w:rFonts w:hint="eastAsia"/>
          <w:color w:val="auto"/>
          <w:lang w:val="en-US" w:eastAsia="zh-CN"/>
        </w:rPr>
        <w:t>“</w:t>
      </w:r>
      <w:r>
        <w:rPr>
          <w:rFonts w:hint="default"/>
          <w:color w:val="auto"/>
          <w:lang w:val="en-US" w:eastAsia="zh-CN"/>
        </w:rPr>
        <w:t>V-Next</w:t>
      </w:r>
      <w:r>
        <w:rPr>
          <w:rFonts w:hint="eastAsia"/>
          <w:color w:val="auto"/>
          <w:lang w:val="en-US" w:eastAsia="zh-CN"/>
        </w:rPr>
        <w:t>”</w:t>
      </w:r>
      <w:r>
        <w:rPr>
          <w:rFonts w:hint="default"/>
          <w:color w:val="auto"/>
          <w:lang w:val="en-US" w:eastAsia="zh-CN"/>
        </w:rPr>
        <w:t>路演平台加载更多数字化金融服务功能</w:t>
      </w:r>
      <w:r>
        <w:rPr>
          <w:rFonts w:hint="eastAsia"/>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eastAsia="仿宋_GB2312"/>
          <w:color w:val="auto"/>
          <w:lang w:val="en-US" w:eastAsia="zh-CN"/>
        </w:rPr>
      </w:pPr>
      <w:bookmarkStart w:id="52" w:name="_Toc11086"/>
      <w:r>
        <w:rPr>
          <w:rFonts w:hint="eastAsia"/>
          <w:b/>
          <w:bCs/>
          <w:color w:val="auto"/>
          <w:lang w:val="en-US" w:eastAsia="zh-CN"/>
        </w:rPr>
        <w:t>3.</w:t>
      </w:r>
      <w:r>
        <w:rPr>
          <w:rFonts w:hint="default"/>
          <w:b/>
          <w:bCs/>
          <w:color w:val="auto"/>
        </w:rPr>
        <w:t>联动</w:t>
      </w:r>
      <w:r>
        <w:rPr>
          <w:rFonts w:hint="eastAsia"/>
          <w:b/>
          <w:bCs/>
          <w:color w:val="auto"/>
          <w:lang w:val="en-US" w:eastAsia="zh-CN"/>
        </w:rPr>
        <w:t>建设</w:t>
      </w:r>
      <w:r>
        <w:rPr>
          <w:rFonts w:hint="default"/>
          <w:b/>
          <w:bCs/>
          <w:color w:val="auto"/>
        </w:rPr>
        <w:t>国际风投创投中心与金融科技中心</w:t>
      </w:r>
      <w:bookmarkEnd w:id="52"/>
      <w:r>
        <w:rPr>
          <w:rFonts w:hint="eastAsia"/>
          <w:b/>
          <w:bCs/>
          <w:color w:val="auto"/>
          <w:lang w:eastAsia="zh-CN"/>
        </w:rPr>
        <w:t>。</w:t>
      </w:r>
      <w:r>
        <w:rPr>
          <w:rFonts w:hint="default"/>
          <w:color w:val="auto"/>
        </w:rPr>
        <w:t>支持设立金融科技主题的风险投资基金，瞄准区块链等</w:t>
      </w:r>
      <w:r>
        <w:rPr>
          <w:rFonts w:hint="eastAsia"/>
          <w:color w:val="auto"/>
          <w:lang w:val="en-US" w:eastAsia="zh-CN"/>
        </w:rPr>
        <w:t>前沿领域</w:t>
      </w:r>
      <w:r>
        <w:rPr>
          <w:rFonts w:hint="default"/>
          <w:color w:val="auto"/>
        </w:rPr>
        <w:t>加大</w:t>
      </w:r>
      <w:r>
        <w:rPr>
          <w:rFonts w:hint="eastAsia"/>
          <w:color w:val="auto"/>
          <w:lang w:val="en-US" w:eastAsia="zh-CN"/>
        </w:rPr>
        <w:t>跟踪</w:t>
      </w:r>
      <w:r>
        <w:rPr>
          <w:rFonts w:hint="default"/>
          <w:color w:val="auto"/>
        </w:rPr>
        <w:t>投入，</w:t>
      </w:r>
      <w:r>
        <w:rPr>
          <w:rFonts w:hint="eastAsia"/>
          <w:color w:val="auto"/>
          <w:lang w:val="en-US" w:eastAsia="zh-CN"/>
        </w:rPr>
        <w:t>积极</w:t>
      </w:r>
      <w:r>
        <w:rPr>
          <w:rFonts w:hint="default"/>
          <w:color w:val="auto"/>
        </w:rPr>
        <w:t>孵化种子期、初创期金融科技</w:t>
      </w:r>
      <w:r>
        <w:rPr>
          <w:rFonts w:hint="eastAsia"/>
          <w:color w:val="auto"/>
          <w:lang w:val="en-US" w:eastAsia="zh-CN"/>
        </w:rPr>
        <w:t>优质</w:t>
      </w:r>
      <w:r>
        <w:rPr>
          <w:rFonts w:hint="default"/>
          <w:color w:val="auto"/>
        </w:rPr>
        <w:t>项目。</w:t>
      </w:r>
      <w:r>
        <w:rPr>
          <w:rFonts w:hint="eastAsia"/>
          <w:color w:val="auto"/>
          <w:lang w:val="en-US" w:eastAsia="zh-CN"/>
        </w:rPr>
        <w:t>依托香蜜湖</w:t>
      </w:r>
      <w:r>
        <w:rPr>
          <w:rFonts w:hint="default"/>
          <w:color w:val="auto"/>
        </w:rPr>
        <w:t>国际风投创投</w:t>
      </w:r>
      <w:r>
        <w:rPr>
          <w:rFonts w:hint="eastAsia"/>
          <w:color w:val="auto"/>
          <w:lang w:val="en-US" w:eastAsia="zh-CN"/>
        </w:rPr>
        <w:t>街区等集聚功能区</w:t>
      </w:r>
      <w:r>
        <w:rPr>
          <w:rFonts w:hint="default"/>
          <w:color w:val="auto"/>
        </w:rPr>
        <w:t>建设</w:t>
      </w:r>
      <w:r>
        <w:rPr>
          <w:rFonts w:hint="eastAsia"/>
          <w:color w:val="auto"/>
          <w:lang w:eastAsia="zh-CN"/>
        </w:rPr>
        <w:t>，</w:t>
      </w:r>
      <w:r>
        <w:rPr>
          <w:rFonts w:hint="eastAsia"/>
          <w:color w:val="auto"/>
          <w:lang w:val="en-US" w:eastAsia="zh-CN"/>
        </w:rPr>
        <w:t>鼓励聚焦投资金融科技类企业的股权投资机构在深发展，完善</w:t>
      </w:r>
      <w:r>
        <w:rPr>
          <w:rFonts w:hint="default"/>
          <w:color w:val="auto"/>
        </w:rPr>
        <w:t>路演交流</w:t>
      </w:r>
      <w:r>
        <w:rPr>
          <w:rFonts w:hint="eastAsia"/>
          <w:color w:val="auto"/>
          <w:lang w:eastAsia="zh-CN"/>
        </w:rPr>
        <w:t>、</w:t>
      </w:r>
      <w:r>
        <w:rPr>
          <w:rFonts w:hint="default"/>
          <w:color w:val="auto"/>
        </w:rPr>
        <w:t>项目对接</w:t>
      </w:r>
      <w:r>
        <w:rPr>
          <w:rFonts w:hint="eastAsia"/>
          <w:color w:val="auto"/>
          <w:lang w:val="en-US" w:eastAsia="zh-CN"/>
        </w:rPr>
        <w:t>等机制</w:t>
      </w:r>
      <w:r>
        <w:rPr>
          <w:rFonts w:hint="default"/>
          <w:color w:val="auto"/>
        </w:rPr>
        <w:t>平台，便利风投创投资源与</w:t>
      </w:r>
      <w:r>
        <w:rPr>
          <w:rFonts w:hint="eastAsia"/>
          <w:color w:val="auto"/>
          <w:lang w:eastAsia="zh-CN"/>
        </w:rPr>
        <w:t>金融科技类企业</w:t>
      </w:r>
      <w:r>
        <w:rPr>
          <w:rFonts w:hint="default"/>
          <w:color w:val="auto"/>
        </w:rPr>
        <w:t>对接。发挥</w:t>
      </w:r>
      <w:r>
        <w:rPr>
          <w:rFonts w:hint="eastAsia"/>
          <w:color w:val="auto"/>
          <w:lang w:val="en-US" w:eastAsia="zh-CN"/>
        </w:rPr>
        <w:t>市、区</w:t>
      </w:r>
      <w:r>
        <w:rPr>
          <w:rFonts w:hint="default"/>
          <w:color w:val="auto"/>
        </w:rPr>
        <w:t>政府引导基金作用，</w:t>
      </w:r>
      <w:r>
        <w:rPr>
          <w:rFonts w:hint="eastAsia"/>
          <w:color w:val="auto"/>
          <w:lang w:val="en-US" w:eastAsia="zh-CN"/>
        </w:rPr>
        <w:t>支持</w:t>
      </w:r>
      <w:r>
        <w:rPr>
          <w:rFonts w:hint="default"/>
          <w:color w:val="auto"/>
        </w:rPr>
        <w:t>合作设立区域性基金或园区基金，</w:t>
      </w:r>
      <w:r>
        <w:rPr>
          <w:rFonts w:hint="eastAsia"/>
          <w:color w:val="auto"/>
          <w:lang w:val="en-US" w:eastAsia="zh-CN"/>
        </w:rPr>
        <w:t>促进</w:t>
      </w:r>
      <w:r>
        <w:rPr>
          <w:rFonts w:hint="default"/>
          <w:color w:val="auto"/>
        </w:rPr>
        <w:t>属地</w:t>
      </w:r>
      <w:r>
        <w:rPr>
          <w:rFonts w:hint="eastAsia"/>
          <w:color w:val="auto"/>
          <w:lang w:eastAsia="zh-CN"/>
        </w:rPr>
        <w:t>金融科技类企业</w:t>
      </w:r>
      <w:r>
        <w:rPr>
          <w:rFonts w:hint="default"/>
          <w:color w:val="auto"/>
        </w:rPr>
        <w:t>发展</w:t>
      </w:r>
      <w:r>
        <w:rPr>
          <w:rFonts w:hint="eastAsia"/>
          <w:color w:val="auto"/>
          <w:lang w:eastAsia="zh-CN"/>
        </w:rPr>
        <w:t>；</w:t>
      </w:r>
      <w:r>
        <w:rPr>
          <w:rFonts w:hint="eastAsia"/>
          <w:color w:val="auto"/>
          <w:lang w:val="en-US" w:eastAsia="zh-CN"/>
        </w:rPr>
        <w:t>支持深圳市天使投资引导基金与社会资本合作依法依规发起设立金融科技子基金。</w:t>
      </w:r>
    </w:p>
    <w:p>
      <w:pPr>
        <w:pStyle w:val="4"/>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bookmarkStart w:id="53" w:name="_Toc1570488162"/>
      <w:r>
        <w:rPr>
          <w:rFonts w:hint="eastAsia"/>
          <w:color w:val="auto"/>
          <w:lang w:eastAsia="zh-CN"/>
        </w:rPr>
        <w:t>（</w:t>
      </w:r>
      <w:r>
        <w:rPr>
          <w:rFonts w:hint="eastAsia"/>
          <w:color w:val="auto"/>
          <w:lang w:val="en-US" w:eastAsia="zh-CN"/>
        </w:rPr>
        <w:t>七</w:t>
      </w:r>
      <w:r>
        <w:rPr>
          <w:rFonts w:hint="eastAsia"/>
          <w:color w:val="auto"/>
          <w:lang w:eastAsia="zh-CN"/>
        </w:rPr>
        <w:t>）</w:t>
      </w:r>
      <w:bookmarkEnd w:id="37"/>
      <w:bookmarkEnd w:id="38"/>
      <w:r>
        <w:rPr>
          <w:rFonts w:hint="eastAsia"/>
          <w:color w:val="auto"/>
          <w:lang w:val="en-US" w:eastAsia="zh-CN"/>
        </w:rPr>
        <w:t>加强金融科技风险防控</w:t>
      </w:r>
      <w:bookmarkEnd w:id="53"/>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eastAsia="仿宋_GB2312"/>
          <w:color w:val="auto"/>
          <w:lang w:val="en-US" w:eastAsia="zh-CN"/>
        </w:rPr>
      </w:pPr>
      <w:bookmarkStart w:id="54" w:name="_Toc25314"/>
      <w:r>
        <w:rPr>
          <w:rFonts w:hint="eastAsia"/>
          <w:b/>
          <w:bCs/>
          <w:color w:val="auto"/>
          <w:lang w:val="en-US" w:eastAsia="zh-CN"/>
        </w:rPr>
        <w:t>1.提升</w:t>
      </w:r>
      <w:r>
        <w:rPr>
          <w:rFonts w:hint="default"/>
          <w:b/>
          <w:bCs/>
          <w:color w:val="auto"/>
        </w:rPr>
        <w:t>监管科技应用</w:t>
      </w:r>
      <w:bookmarkEnd w:id="54"/>
      <w:r>
        <w:rPr>
          <w:rFonts w:hint="eastAsia"/>
          <w:b/>
          <w:bCs/>
          <w:color w:val="auto"/>
          <w:lang w:val="en-US" w:eastAsia="zh-CN"/>
        </w:rPr>
        <w:t>水平</w:t>
      </w:r>
      <w:r>
        <w:rPr>
          <w:rFonts w:hint="eastAsia"/>
          <w:b/>
          <w:bCs/>
          <w:color w:val="auto"/>
          <w:lang w:eastAsia="zh-CN"/>
        </w:rPr>
        <w:t>。</w:t>
      </w:r>
      <w:r>
        <w:rPr>
          <w:rFonts w:hint="eastAsia"/>
          <w:color w:val="auto"/>
          <w:lang w:val="en-US" w:eastAsia="zh-CN"/>
        </w:rPr>
        <w:t>支持金融监管机构运用科技手段创新监管模式，</w:t>
      </w:r>
      <w:r>
        <w:rPr>
          <w:rFonts w:hint="eastAsia"/>
          <w:b w:val="0"/>
          <w:bCs w:val="0"/>
          <w:color w:val="auto"/>
          <w:lang w:val="en-US" w:eastAsia="zh-CN"/>
        </w:rPr>
        <w:t>整合优化地方金融风险监管预警系统等平台功能，增强</w:t>
      </w:r>
      <w:r>
        <w:rPr>
          <w:rFonts w:hint="eastAsia"/>
          <w:color w:val="auto"/>
          <w:lang w:val="en-US" w:eastAsia="zh-CN"/>
        </w:rPr>
        <w:t>实时数据集成、关键信息披露、风险主动鉴别、预警核查处置等数字化监管功能，提高风险“早识别、早预警、早发现、早处置”能力。运用</w:t>
      </w:r>
      <w:r>
        <w:rPr>
          <w:rFonts w:hint="eastAsia"/>
          <w:color w:val="auto"/>
          <w:lang w:eastAsia="zh-CN"/>
        </w:rPr>
        <w:t>大数据、人工智能</w:t>
      </w:r>
      <w:r>
        <w:rPr>
          <w:rFonts w:hint="eastAsia"/>
          <w:color w:val="auto"/>
          <w:lang w:val="en-US" w:eastAsia="zh-CN"/>
        </w:rPr>
        <w:t>等现代技术手段，结合数据模型、典型场景等，加强对非法集资的监测预警，提升</w:t>
      </w:r>
      <w:r>
        <w:rPr>
          <w:rFonts w:hint="default"/>
          <w:color w:val="auto"/>
        </w:rPr>
        <w:t>非法集资线索发现、归集研判、分发查核、</w:t>
      </w:r>
      <w:r>
        <w:rPr>
          <w:rFonts w:hint="eastAsia"/>
          <w:color w:val="auto"/>
          <w:lang w:val="en-US" w:eastAsia="zh-CN"/>
        </w:rPr>
        <w:t>打击</w:t>
      </w:r>
      <w:r>
        <w:rPr>
          <w:rFonts w:hint="default"/>
          <w:color w:val="auto"/>
        </w:rPr>
        <w:t>处置</w:t>
      </w:r>
      <w:r>
        <w:rPr>
          <w:rFonts w:hint="eastAsia"/>
          <w:color w:val="auto"/>
          <w:lang w:val="en-US" w:eastAsia="zh-CN"/>
        </w:rPr>
        <w:t>等</w:t>
      </w:r>
      <w:r>
        <w:rPr>
          <w:rFonts w:hint="default"/>
          <w:color w:val="auto"/>
        </w:rPr>
        <w:t>全链条运行</w:t>
      </w:r>
      <w:r>
        <w:rPr>
          <w:rFonts w:hint="eastAsia"/>
          <w:color w:val="auto"/>
          <w:lang w:val="en-US" w:eastAsia="zh-CN"/>
        </w:rPr>
        <w:t>效能</w:t>
      </w:r>
      <w:r>
        <w:rPr>
          <w:rFonts w:hint="default"/>
          <w:color w:val="auto"/>
        </w:rPr>
        <w:t>。支持</w:t>
      </w:r>
      <w:r>
        <w:rPr>
          <w:rFonts w:hint="eastAsia"/>
          <w:color w:val="auto"/>
          <w:lang w:val="en-US" w:eastAsia="zh-CN"/>
        </w:rPr>
        <w:t>国家金融</w:t>
      </w:r>
      <w:r>
        <w:rPr>
          <w:rFonts w:hint="default"/>
          <w:color w:val="auto"/>
        </w:rPr>
        <w:t>监管</w:t>
      </w:r>
      <w:r>
        <w:rPr>
          <w:rFonts w:hint="eastAsia"/>
          <w:color w:val="auto"/>
          <w:lang w:val="en-US" w:eastAsia="zh-CN"/>
        </w:rPr>
        <w:t>部门</w:t>
      </w:r>
      <w:r>
        <w:rPr>
          <w:rFonts w:hint="default"/>
          <w:color w:val="auto"/>
        </w:rPr>
        <w:t>及其</w:t>
      </w:r>
      <w:r>
        <w:rPr>
          <w:rFonts w:hint="eastAsia"/>
          <w:color w:val="auto"/>
          <w:lang w:val="en-US" w:eastAsia="zh-CN"/>
        </w:rPr>
        <w:t>相关机构</w:t>
      </w:r>
      <w:r>
        <w:rPr>
          <w:rFonts w:hint="default"/>
          <w:color w:val="auto"/>
        </w:rPr>
        <w:t>在深圳设立监管科技</w:t>
      </w:r>
      <w:r>
        <w:rPr>
          <w:rFonts w:hint="eastAsia"/>
          <w:color w:val="auto"/>
          <w:lang w:val="en-US" w:eastAsia="zh-CN"/>
        </w:rPr>
        <w:t>设施载体</w:t>
      </w:r>
      <w:r>
        <w:rPr>
          <w:rFonts w:hint="default"/>
          <w:color w:val="auto"/>
        </w:rPr>
        <w:t>，创新监管领域数字治理机制。</w:t>
      </w:r>
      <w:r>
        <w:rPr>
          <w:rFonts w:hint="eastAsia"/>
          <w:color w:val="auto"/>
          <w:lang w:val="en-US" w:eastAsia="zh-CN"/>
        </w:rPr>
        <w:t>深化人民银行金融科技创新监管试点、资本市场金融科技创新试点，鼓励监管科技项目进入测试，持续丰富监管科技工具体系。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color w:val="auto"/>
        </w:rPr>
      </w:pPr>
      <w:r>
        <w:rPr>
          <w:rFonts w:hint="eastAsia"/>
          <w:b/>
          <w:bCs/>
          <w:color w:val="auto"/>
          <w:lang w:val="en-US" w:eastAsia="zh-CN"/>
        </w:rPr>
        <w:t>2.推动合规科技创新应用。</w:t>
      </w:r>
      <w:r>
        <w:rPr>
          <w:rFonts w:hint="eastAsia"/>
          <w:color w:val="auto"/>
          <w:lang w:val="en-US" w:eastAsia="zh-CN"/>
        </w:rPr>
        <w:t>鼓励金融机构独立或与科技企业合作开发合规科技平台设施，提高合规管理自动化、智能化水平。发挥深圳市金融创新奖、香蜜湖金融科技创新奖等激励机制作用，引导推动各类金融机构在</w:t>
      </w:r>
      <w:r>
        <w:rPr>
          <w:rFonts w:hint="default"/>
          <w:color w:val="auto"/>
        </w:rPr>
        <w:t>客户身份识别、</w:t>
      </w:r>
      <w:r>
        <w:rPr>
          <w:rFonts w:hint="eastAsia"/>
          <w:color w:val="auto"/>
          <w:lang w:val="en-US" w:eastAsia="zh-CN"/>
        </w:rPr>
        <w:t>产品宣传推广、投资者权益保护以及交易行为监测、业务数据报送、风险事件报告等场景中，无缝嵌入数字合规工具，增强对合规风险的动态感知、实时监测和智能防控能力。支持促进一批专注于合规科技业务的优秀金融科技类企业做大做强。支持金融监管部门、行业组织等指导制定</w:t>
      </w:r>
      <w:r>
        <w:rPr>
          <w:rFonts w:hint="default"/>
          <w:color w:val="auto"/>
        </w:rPr>
        <w:t>金融科技</w:t>
      </w:r>
      <w:r>
        <w:rPr>
          <w:rFonts w:hint="eastAsia"/>
          <w:color w:val="auto"/>
          <w:lang w:val="en-US" w:eastAsia="zh-CN"/>
        </w:rPr>
        <w:t>重点</w:t>
      </w:r>
      <w:r>
        <w:rPr>
          <w:rFonts w:hint="default"/>
          <w:color w:val="auto"/>
        </w:rPr>
        <w:t>领域</w:t>
      </w:r>
      <w:r>
        <w:rPr>
          <w:rFonts w:hint="eastAsia"/>
          <w:color w:val="auto"/>
          <w:lang w:val="en-US" w:eastAsia="zh-CN"/>
        </w:rPr>
        <w:t>的</w:t>
      </w:r>
      <w:r>
        <w:rPr>
          <w:rFonts w:hint="default"/>
          <w:color w:val="auto"/>
        </w:rPr>
        <w:t>合规指引。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color w:val="auto"/>
          <w:lang w:val="en-US" w:eastAsia="zh-CN"/>
        </w:rPr>
      </w:pPr>
      <w:r>
        <w:rPr>
          <w:rFonts w:hint="eastAsia"/>
          <w:b/>
          <w:bCs/>
          <w:color w:val="auto"/>
          <w:lang w:val="en-US" w:eastAsia="zh-CN"/>
        </w:rPr>
        <w:t>3.加强金融科技</w:t>
      </w:r>
      <w:r>
        <w:rPr>
          <w:rFonts w:hint="default"/>
          <w:b/>
          <w:bCs/>
          <w:color w:val="auto"/>
        </w:rPr>
        <w:t>伦理建设</w:t>
      </w:r>
      <w:r>
        <w:rPr>
          <w:rFonts w:hint="eastAsia"/>
          <w:b/>
          <w:bCs/>
          <w:color w:val="auto"/>
          <w:lang w:eastAsia="zh-CN"/>
        </w:rPr>
        <w:t>。</w:t>
      </w:r>
      <w:r>
        <w:rPr>
          <w:rFonts w:hint="eastAsia"/>
          <w:color w:val="auto"/>
          <w:lang w:val="en-US" w:eastAsia="zh-CN"/>
        </w:rPr>
        <w:t>发挥</w:t>
      </w:r>
      <w:r>
        <w:rPr>
          <w:rFonts w:hint="default"/>
          <w:color w:val="auto"/>
        </w:rPr>
        <w:t>深圳市金融科技伦理委员会</w:t>
      </w:r>
      <w:r>
        <w:rPr>
          <w:rFonts w:hint="eastAsia"/>
          <w:color w:val="auto"/>
          <w:lang w:val="en-US" w:eastAsia="zh-CN"/>
        </w:rPr>
        <w:t>作用</w:t>
      </w:r>
      <w:r>
        <w:rPr>
          <w:rFonts w:hint="default"/>
          <w:color w:val="auto"/>
        </w:rPr>
        <w:t>，</w:t>
      </w:r>
      <w:r>
        <w:rPr>
          <w:rFonts w:hint="eastAsia"/>
          <w:color w:val="auto"/>
          <w:lang w:val="en-US" w:eastAsia="zh-CN"/>
        </w:rPr>
        <w:t>坚持促进创新与防范风险相统一、制度规范与自我约束相结合原则，推动完善金融科技伦理审查、信息披露、评价等制度规则</w:t>
      </w:r>
      <w:r>
        <w:rPr>
          <w:rFonts w:hint="eastAsia"/>
          <w:color w:val="auto"/>
          <w:lang w:eastAsia="zh-CN"/>
        </w:rPr>
        <w:t>。</w:t>
      </w:r>
      <w:r>
        <w:rPr>
          <w:rFonts w:hint="eastAsia"/>
          <w:color w:val="auto"/>
          <w:lang w:val="en-US" w:eastAsia="zh-CN"/>
        </w:rPr>
        <w:t>引导鼓励</w:t>
      </w:r>
      <w:r>
        <w:rPr>
          <w:rFonts w:hint="eastAsia"/>
          <w:color w:val="auto"/>
          <w:lang w:eastAsia="zh-CN"/>
        </w:rPr>
        <w:t>金融科技类企业</w:t>
      </w:r>
      <w:r>
        <w:rPr>
          <w:rFonts w:hint="eastAsia"/>
          <w:color w:val="auto"/>
          <w:lang w:val="en-US" w:eastAsia="zh-CN"/>
        </w:rPr>
        <w:t>在</w:t>
      </w:r>
      <w:r>
        <w:rPr>
          <w:rFonts w:hint="default"/>
          <w:color w:val="auto"/>
        </w:rPr>
        <w:t>前期研究、产品设计、架构选择、开发实施、部署落地、绩效监测</w:t>
      </w:r>
      <w:r>
        <w:rPr>
          <w:rFonts w:hint="eastAsia"/>
          <w:color w:val="auto"/>
          <w:lang w:eastAsia="zh-CN"/>
        </w:rPr>
        <w:t>、</w:t>
      </w:r>
      <w:r>
        <w:rPr>
          <w:rFonts w:hint="default"/>
          <w:color w:val="auto"/>
        </w:rPr>
        <w:t>迭代升级</w:t>
      </w:r>
      <w:r>
        <w:rPr>
          <w:rFonts w:hint="eastAsia"/>
          <w:color w:val="auto"/>
          <w:lang w:val="en-US" w:eastAsia="zh-CN"/>
        </w:rPr>
        <w:t>等</w:t>
      </w:r>
      <w:r>
        <w:rPr>
          <w:rFonts w:hint="default"/>
          <w:color w:val="auto"/>
        </w:rPr>
        <w:t>全过程纳入金融科技伦理审查机制</w:t>
      </w:r>
      <w:r>
        <w:rPr>
          <w:rFonts w:hint="eastAsia"/>
          <w:color w:val="auto"/>
          <w:lang w:eastAsia="zh-CN"/>
        </w:rPr>
        <w:t>，</w:t>
      </w:r>
      <w:r>
        <w:rPr>
          <w:rFonts w:hint="eastAsia"/>
          <w:color w:val="auto"/>
          <w:lang w:val="en-US" w:eastAsia="zh-CN"/>
        </w:rPr>
        <w:t>严防技术滥用</w:t>
      </w:r>
      <w:r>
        <w:rPr>
          <w:rFonts w:hint="default"/>
          <w:color w:val="auto"/>
        </w:rPr>
        <w:t>。</w:t>
      </w:r>
      <w:r>
        <w:rPr>
          <w:rFonts w:hint="eastAsia"/>
          <w:color w:val="auto"/>
          <w:lang w:val="en-US" w:eastAsia="zh-CN"/>
        </w:rPr>
        <w:t>督促金融科技类企业、从业者自觉遵守《深圳市金融科技伦理宣言》，不断增强金融科技伦理意识，自觉践行金融科技伦理原则，共同抵制违背金融科技伦理要求的行为。</w:t>
      </w:r>
    </w:p>
    <w:p>
      <w:pPr>
        <w:pStyle w:val="2"/>
        <w:keepNext w:val="0"/>
        <w:keepLines w:val="0"/>
        <w:pageBreakBefore w:val="0"/>
        <w:widowControl w:val="0"/>
        <w:kinsoku/>
        <w:wordWrap/>
        <w:overflowPunct/>
        <w:topLinePunct w:val="0"/>
        <w:autoSpaceDE/>
        <w:autoSpaceDN/>
        <w:bidi w:val="0"/>
        <w:adjustRightInd/>
        <w:snapToGrid w:val="0"/>
        <w:spacing w:line="300" w:lineRule="exact"/>
        <w:textAlignment w:val="baseline"/>
        <w:rPr>
          <w:rFonts w:hint="default"/>
          <w:lang w:val="en-US" w:eastAsia="zh-CN"/>
        </w:rPr>
      </w:pPr>
    </w:p>
    <w:tbl>
      <w:tblPr>
        <w:tblStyle w:val="15"/>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5" w:type="dxa"/>
            <w:tcMar>
              <w:top w:w="57" w:type="dxa"/>
              <w:left w:w="170" w:type="dxa"/>
              <w:bottom w:w="57" w:type="dxa"/>
              <w:right w:w="170" w:type="dxa"/>
            </w:tcMar>
            <w:vAlign w:val="top"/>
          </w:tcPr>
          <w:p>
            <w:pPr>
              <w:pStyle w:val="2"/>
              <w:keepNext w:val="0"/>
              <w:keepLines w:val="0"/>
              <w:pageBreakBefore w:val="0"/>
              <w:widowControl w:val="0"/>
              <w:kinsoku/>
              <w:wordWrap/>
              <w:overflowPunct/>
              <w:topLinePunct w:val="0"/>
              <w:autoSpaceDE/>
              <w:autoSpaceDN/>
              <w:bidi w:val="0"/>
              <w:adjustRightInd/>
              <w:snapToGrid w:val="0"/>
              <w:spacing w:before="219" w:beforeLines="50" w:after="110" w:afterLines="25" w:line="440" w:lineRule="exact"/>
              <w:ind w:left="0" w:leftChars="0" w:firstLine="0" w:firstLineChars="0"/>
              <w:jc w:val="both"/>
              <w:textAlignment w:val="baseline"/>
              <w:rPr>
                <w:rFonts w:hint="eastAsia"/>
                <w:sz w:val="28"/>
                <w:szCs w:val="21"/>
                <w:lang w:val="en-US" w:eastAsia="zh-CN"/>
              </w:rPr>
            </w:pPr>
            <w:r>
              <w:rPr>
                <w:rFonts w:hint="eastAsia"/>
                <w:b/>
                <w:bCs/>
                <w:sz w:val="28"/>
                <w:szCs w:val="21"/>
                <w:lang w:val="en-US" w:eastAsia="zh-CN"/>
              </w:rPr>
              <w:t>专栏5：深圳市金融科技伦理委员会</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ascii="楷体_GB2312" w:hAnsi="楷体_GB2312" w:eastAsia="楷体_GB2312" w:cs="楷体_GB2312"/>
                <w:spacing w:val="-6"/>
                <w:sz w:val="28"/>
                <w:szCs w:val="21"/>
                <w:lang w:val="en-US" w:eastAsia="zh-CN"/>
              </w:rPr>
            </w:pPr>
            <w:r>
              <w:rPr>
                <w:rFonts w:hint="eastAsia" w:ascii="楷体_GB2312" w:hAnsi="楷体_GB2312" w:eastAsia="楷体_GB2312" w:cs="楷体_GB2312"/>
                <w:spacing w:val="-6"/>
                <w:sz w:val="28"/>
                <w:szCs w:val="21"/>
                <w:lang w:val="en-US" w:eastAsia="zh-CN"/>
              </w:rPr>
              <w:t>2020年12月13日，以“金融科技塑造韧性世界”为主题的2020中国（深圳）金融科技全球峰会成功召开，期间“深圳市金融科技伦理委员会”正式成立。</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ascii="楷体_GB2312" w:hAnsi="楷体_GB2312" w:eastAsia="楷体_GB2312" w:cs="楷体_GB2312"/>
                <w:spacing w:val="-6"/>
                <w:sz w:val="28"/>
                <w:szCs w:val="21"/>
                <w:lang w:val="en-US" w:eastAsia="zh-CN"/>
              </w:rPr>
            </w:pPr>
            <w:r>
              <w:rPr>
                <w:rFonts w:hint="eastAsia" w:ascii="楷体_GB2312" w:hAnsi="楷体_GB2312" w:eastAsia="楷体_GB2312" w:cs="楷体_GB2312"/>
                <w:spacing w:val="-6"/>
                <w:sz w:val="28"/>
                <w:szCs w:val="21"/>
                <w:lang w:val="en-US" w:eastAsia="zh-CN"/>
              </w:rPr>
              <w:t>该委员会是在深圳市地方金融监督管理局推动和指导下，由深圳市金融科技协会牵头组建，旨在探索建立金融科技道德标准、金融科技创新与监管机制，增强金融服务实体经济与防范化解金融风险能力，助力深圳金融科技在“双区驱动”大背景下的合规创新建设，推动建设健康完整的金融科技生态系统。</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ascii="楷体_GB2312" w:hAnsi="楷体_GB2312" w:eastAsia="楷体_GB2312" w:cs="楷体_GB2312"/>
                <w:spacing w:val="-6"/>
                <w:sz w:val="28"/>
                <w:szCs w:val="21"/>
                <w:lang w:val="en-US" w:eastAsia="zh-CN"/>
              </w:rPr>
            </w:pPr>
            <w:r>
              <w:rPr>
                <w:rFonts w:hint="eastAsia" w:ascii="楷体_GB2312" w:hAnsi="楷体_GB2312" w:eastAsia="楷体_GB2312" w:cs="楷体_GB2312"/>
                <w:spacing w:val="-6"/>
                <w:sz w:val="28"/>
                <w:szCs w:val="21"/>
                <w:lang w:val="en-US" w:eastAsia="zh-CN"/>
              </w:rPr>
              <w:t>与此同时，《深圳市金融科技伦理宣言》首次正式发布，通过“九条倡议”，呼吁每一个金融科技类企业、每一位金融科技从业者维护金融科技伦理建设，共同努力促进金融科技领域中个人、组织、和社会之间关系的改进，使深圳市金融科技发展朝着有利于促进技术、商业和道德共同繁荣的方向进步。</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lang w:val="en-US" w:eastAsia="zh-CN"/>
              </w:rPr>
            </w:pPr>
            <w:r>
              <w:rPr>
                <w:rFonts w:hint="eastAsia" w:ascii="楷体_GB2312" w:hAnsi="楷体_GB2312" w:eastAsia="楷体_GB2312" w:cs="楷体_GB2312"/>
                <w:spacing w:val="-6"/>
                <w:sz w:val="28"/>
                <w:szCs w:val="21"/>
                <w:lang w:val="en-US" w:eastAsia="zh-CN"/>
              </w:rPr>
              <w:t>该委员会第一届主任委员由全国社会保障基金理事会原副理事长王忠民担任，北京大学汇丰金融研究院执行院长、中国宏观经济学会副会长巴曙松担任副主任委员。从委员名单来看，此次成立的委员会起点高、覆盖广，涵盖了金融科技相关的产业、技术、法律、安全、学术等各类企业和机构，委员均是在金融科技相关领域具有多年研究经验和经验积累的专家。</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lang w:eastAsia="zh-CN"/>
        </w:rPr>
      </w:pPr>
      <w:r>
        <w:rPr>
          <w:rFonts w:hint="eastAsia"/>
          <w:b/>
          <w:bCs/>
          <w:color w:val="auto"/>
          <w:lang w:val="en-US" w:eastAsia="zh-CN"/>
        </w:rPr>
        <w:t>4.推动安全技术体系及标准化建设</w:t>
      </w:r>
      <w:r>
        <w:rPr>
          <w:rFonts w:hint="eastAsia"/>
          <w:b/>
          <w:bCs/>
          <w:color w:val="auto"/>
          <w:lang w:eastAsia="zh-CN"/>
        </w:rPr>
        <w:t>。</w:t>
      </w:r>
      <w:r>
        <w:rPr>
          <w:rFonts w:hint="eastAsia"/>
          <w:b w:val="0"/>
          <w:bCs w:val="0"/>
          <w:color w:val="auto"/>
          <w:lang w:eastAsia="zh-CN"/>
        </w:rPr>
        <w:t>鼓励金融机构创新金融科技安全管理机制，整合基础设施安全、系统运行安全、网络安全、数据安全、云原生应用等安全监控系统，建设与金融科技运用相适应的技术安全管理体系</w:t>
      </w:r>
      <w:r>
        <w:rPr>
          <w:rFonts w:hint="eastAsia"/>
          <w:b w:val="0"/>
          <w:bCs w:val="0"/>
          <w:color w:val="auto"/>
          <w:lang w:val="en-US" w:eastAsia="zh-CN"/>
        </w:rPr>
        <w:t>。</w:t>
      </w:r>
      <w:r>
        <w:rPr>
          <w:rFonts w:hint="eastAsia"/>
          <w:color w:val="auto"/>
          <w:lang w:eastAsia="zh-CN"/>
        </w:rPr>
        <w:t>鼓励与</w:t>
      </w:r>
      <w:r>
        <w:rPr>
          <w:rFonts w:hint="eastAsia"/>
          <w:color w:val="auto"/>
          <w:lang w:val="en-US" w:eastAsia="zh-CN"/>
        </w:rPr>
        <w:t>底层</w:t>
      </w:r>
      <w:r>
        <w:rPr>
          <w:rFonts w:hint="eastAsia"/>
          <w:color w:val="auto"/>
          <w:lang w:eastAsia="zh-CN"/>
        </w:rPr>
        <w:t>密码</w:t>
      </w:r>
      <w:r>
        <w:rPr>
          <w:rFonts w:hint="eastAsia"/>
          <w:color w:val="auto"/>
          <w:lang w:val="en-US" w:eastAsia="zh-CN"/>
        </w:rPr>
        <w:t>技术等</w:t>
      </w:r>
      <w:r>
        <w:rPr>
          <w:rFonts w:hint="eastAsia"/>
          <w:color w:val="auto"/>
          <w:lang w:eastAsia="zh-CN"/>
        </w:rPr>
        <w:t>相关的研究机构、重点企业在深落地，推动以密码技术、量子技术</w:t>
      </w:r>
      <w:r>
        <w:rPr>
          <w:rFonts w:hint="eastAsia"/>
          <w:color w:val="auto"/>
          <w:lang w:val="en-US" w:eastAsia="zh-CN"/>
        </w:rPr>
        <w:t>、</w:t>
      </w:r>
      <w:r>
        <w:rPr>
          <w:rFonts w:hint="eastAsia"/>
          <w:color w:val="auto"/>
          <w:lang w:eastAsia="zh-CN"/>
        </w:rPr>
        <w:t>生物识别技术、</w:t>
      </w:r>
      <w:r>
        <w:rPr>
          <w:rFonts w:hint="default" w:ascii="仿宋_GB2312" w:hAnsi="仿宋_GB2312" w:eastAsia="仿宋_GB2312" w:cs="仿宋_GB2312"/>
          <w:lang w:val="en-US" w:eastAsia="zh-Hans"/>
        </w:rPr>
        <w:t>零信任技术</w:t>
      </w:r>
      <w:r>
        <w:rPr>
          <w:rFonts w:hint="eastAsia"/>
          <w:color w:val="auto"/>
          <w:lang w:val="en-US" w:eastAsia="zh-CN"/>
        </w:rPr>
        <w:t>等</w:t>
      </w:r>
      <w:r>
        <w:rPr>
          <w:rFonts w:hint="eastAsia"/>
          <w:color w:val="auto"/>
          <w:lang w:eastAsia="zh-CN"/>
        </w:rPr>
        <w:t>为代表的安全技术自主创新及研发，</w:t>
      </w:r>
      <w:r>
        <w:rPr>
          <w:rFonts w:hint="eastAsia"/>
          <w:color w:val="auto"/>
          <w:lang w:val="en-US" w:eastAsia="zh-CN"/>
        </w:rPr>
        <w:t>拓展</w:t>
      </w:r>
      <w:r>
        <w:rPr>
          <w:rFonts w:hint="eastAsia"/>
          <w:color w:val="auto"/>
          <w:lang w:eastAsia="zh-CN"/>
        </w:rPr>
        <w:t>加密技术在身份认证、网络安全、反欺诈等关键领域的应用。</w:t>
      </w:r>
      <w:r>
        <w:rPr>
          <w:rFonts w:hint="eastAsia"/>
          <w:color w:val="auto"/>
          <w:lang w:val="en-US" w:eastAsia="zh-CN"/>
        </w:rPr>
        <w:t>促进</w:t>
      </w:r>
      <w:r>
        <w:rPr>
          <w:rFonts w:hint="eastAsia"/>
          <w:color w:val="auto"/>
          <w:lang w:eastAsia="zh-CN"/>
        </w:rPr>
        <w:t>安全可控技术</w:t>
      </w:r>
      <w:r>
        <w:rPr>
          <w:rFonts w:hint="eastAsia"/>
          <w:color w:val="auto"/>
          <w:lang w:val="en-US" w:eastAsia="zh-CN"/>
        </w:rPr>
        <w:t>及应用解决方案的同业</w:t>
      </w:r>
      <w:r>
        <w:rPr>
          <w:rFonts w:hint="eastAsia"/>
          <w:color w:val="auto"/>
          <w:lang w:eastAsia="zh-CN"/>
        </w:rPr>
        <w:t>交流，</w:t>
      </w:r>
      <w:r>
        <w:rPr>
          <w:rFonts w:hint="default" w:ascii="仿宋_GB2312" w:hAnsi="仿宋_GB2312" w:eastAsia="仿宋_GB2312" w:cs="仿宋_GB2312"/>
          <w:lang w:val="en-US" w:eastAsia="zh-Hans"/>
        </w:rPr>
        <w:t>构建产业生态圈</w:t>
      </w:r>
      <w:r>
        <w:rPr>
          <w:rFonts w:hint="eastAsia"/>
          <w:color w:val="auto"/>
          <w:lang w:eastAsia="zh-CN"/>
        </w:rPr>
        <w:t>。鼓励金融机构、</w:t>
      </w:r>
      <w:r>
        <w:rPr>
          <w:rFonts w:hint="eastAsia"/>
          <w:color w:val="auto"/>
          <w:lang w:val="en-US" w:eastAsia="zh-CN"/>
        </w:rPr>
        <w:t>科技企业</w:t>
      </w:r>
      <w:r>
        <w:rPr>
          <w:rFonts w:hint="eastAsia"/>
          <w:color w:val="auto"/>
          <w:lang w:eastAsia="zh-CN"/>
        </w:rPr>
        <w:t>积极</w:t>
      </w:r>
      <w:r>
        <w:rPr>
          <w:rFonts w:hint="default" w:ascii="仿宋_GB2312" w:hAnsi="仿宋_GB2312" w:eastAsia="仿宋_GB2312" w:cs="仿宋_GB2312"/>
          <w:lang w:val="en-US" w:eastAsia="zh-Hans"/>
        </w:rPr>
        <w:t>发起并</w:t>
      </w:r>
      <w:r>
        <w:rPr>
          <w:rFonts w:hint="eastAsia"/>
          <w:color w:val="auto"/>
          <w:lang w:eastAsia="zh-CN"/>
        </w:rPr>
        <w:t>参与</w:t>
      </w:r>
      <w:r>
        <w:rPr>
          <w:rFonts w:hint="eastAsia"/>
          <w:color w:val="auto"/>
          <w:lang w:val="en-US" w:eastAsia="zh-CN"/>
        </w:rPr>
        <w:t>金融科技</w:t>
      </w:r>
      <w:r>
        <w:rPr>
          <w:rFonts w:hint="eastAsia"/>
          <w:color w:val="auto"/>
          <w:lang w:eastAsia="zh-CN"/>
        </w:rPr>
        <w:t>核心标准、</w:t>
      </w:r>
      <w:r>
        <w:rPr>
          <w:rFonts w:hint="eastAsia"/>
          <w:color w:val="auto"/>
          <w:lang w:val="en-US" w:eastAsia="zh-CN"/>
        </w:rPr>
        <w:t>行业标准、团体标准、企业标准的</w:t>
      </w:r>
      <w:r>
        <w:rPr>
          <w:rFonts w:hint="eastAsia"/>
          <w:color w:val="auto"/>
          <w:lang w:eastAsia="zh-CN"/>
        </w:rPr>
        <w:t>研究、制定及落地</w:t>
      </w:r>
      <w:r>
        <w:rPr>
          <w:rFonts w:hint="eastAsia"/>
          <w:color w:val="auto"/>
          <w:lang w:val="en-US" w:eastAsia="zh-CN"/>
        </w:rPr>
        <w:t>工作</w:t>
      </w:r>
      <w:r>
        <w:rPr>
          <w:rFonts w:hint="eastAsia"/>
          <w:color w:val="auto"/>
          <w:lang w:eastAsia="zh-CN"/>
        </w:rPr>
        <w:t>。</w:t>
      </w:r>
      <w:r>
        <w:rPr>
          <w:rFonts w:hint="eastAsia"/>
          <w:color w:val="auto"/>
          <w:lang w:val="en-US" w:eastAsia="zh-CN"/>
        </w:rPr>
        <w:t>引导督促</w:t>
      </w:r>
      <w:r>
        <w:rPr>
          <w:rFonts w:hint="eastAsia"/>
          <w:color w:val="auto"/>
          <w:lang w:eastAsia="zh-CN"/>
        </w:rPr>
        <w:t>金融机构选择符合国家及行业标准</w:t>
      </w:r>
      <w:r>
        <w:rPr>
          <w:rFonts w:hint="eastAsia"/>
          <w:color w:val="auto"/>
          <w:lang w:val="en-US" w:eastAsia="zh-CN"/>
        </w:rPr>
        <w:t>且</w:t>
      </w:r>
      <w:r>
        <w:rPr>
          <w:rFonts w:hint="default" w:ascii="仿宋_GB2312" w:hAnsi="仿宋_GB2312" w:eastAsia="仿宋_GB2312" w:cs="仿宋_GB2312"/>
          <w:lang w:val="en-US" w:eastAsia="zh-Hans"/>
        </w:rPr>
        <w:t>自主可控的安全产品及服务</w:t>
      </w:r>
      <w:r>
        <w:rPr>
          <w:rFonts w:hint="eastAsia"/>
          <w:color w:val="auto"/>
          <w:lang w:eastAsia="zh-CN"/>
        </w:rPr>
        <w:t>，</w:t>
      </w:r>
      <w:r>
        <w:rPr>
          <w:rFonts w:hint="eastAsia"/>
          <w:color w:val="auto"/>
          <w:lang w:val="en-US" w:eastAsia="zh-CN"/>
        </w:rPr>
        <w:t>有效</w:t>
      </w:r>
      <w:r>
        <w:rPr>
          <w:rFonts w:hint="eastAsia"/>
          <w:color w:val="auto"/>
          <w:lang w:eastAsia="zh-CN"/>
        </w:rPr>
        <w:t>保证重要金融信息</w:t>
      </w:r>
      <w:r>
        <w:rPr>
          <w:rFonts w:hint="eastAsia"/>
          <w:color w:val="auto"/>
          <w:lang w:val="en-US" w:eastAsia="zh-CN"/>
        </w:rPr>
        <w:t>安全</w:t>
      </w:r>
      <w:r>
        <w:rPr>
          <w:rFonts w:hint="eastAsia"/>
          <w:color w:val="auto"/>
          <w:lang w:eastAsia="zh-CN"/>
        </w:rPr>
        <w:t>。</w:t>
      </w:r>
    </w:p>
    <w:p>
      <w:pPr>
        <w:pStyle w:val="4"/>
        <w:pageBreakBefore w:val="0"/>
        <w:widowControl w:val="0"/>
        <w:kinsoku/>
        <w:wordWrap/>
        <w:overflowPunct/>
        <w:topLinePunct w:val="0"/>
        <w:autoSpaceDE/>
        <w:autoSpaceDN/>
        <w:bidi w:val="0"/>
        <w:adjustRightInd/>
        <w:snapToGrid/>
        <w:spacing w:line="560" w:lineRule="exact"/>
        <w:textAlignment w:val="auto"/>
        <w:rPr>
          <w:rFonts w:hint="default"/>
          <w:color w:val="auto"/>
          <w:lang w:eastAsia="zh-CN"/>
        </w:rPr>
      </w:pPr>
      <w:bookmarkStart w:id="55" w:name="_Toc26569"/>
      <w:bookmarkStart w:id="56" w:name="_Toc732028252"/>
      <w:bookmarkStart w:id="57" w:name="_Toc20838"/>
      <w:r>
        <w:rPr>
          <w:rFonts w:hint="eastAsia"/>
          <w:color w:val="auto"/>
          <w:lang w:eastAsia="zh-CN"/>
        </w:rPr>
        <w:t>（</w:t>
      </w:r>
      <w:r>
        <w:rPr>
          <w:rFonts w:hint="eastAsia"/>
          <w:color w:val="auto"/>
          <w:lang w:val="en-US" w:eastAsia="zh-CN"/>
        </w:rPr>
        <w:t>八</w:t>
      </w:r>
      <w:r>
        <w:rPr>
          <w:rFonts w:hint="eastAsia"/>
          <w:color w:val="auto"/>
          <w:lang w:eastAsia="zh-CN"/>
        </w:rPr>
        <w:t>）</w:t>
      </w:r>
      <w:r>
        <w:rPr>
          <w:rFonts w:hint="default"/>
          <w:color w:val="auto"/>
          <w:lang w:eastAsia="zh-CN"/>
        </w:rPr>
        <w:t>扩大金融科技开放合作</w:t>
      </w:r>
      <w:bookmarkEnd w:id="55"/>
      <w:bookmarkEnd w:id="56"/>
      <w:bookmarkEnd w:id="57"/>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color w:val="auto"/>
          <w:lang w:val="en-US" w:eastAsia="zh-CN"/>
        </w:rPr>
      </w:pPr>
      <w:bookmarkStart w:id="58" w:name="_Toc17187"/>
      <w:bookmarkStart w:id="59" w:name="_Toc2275"/>
      <w:r>
        <w:rPr>
          <w:rFonts w:hint="eastAsia"/>
          <w:b/>
          <w:bCs/>
          <w:color w:val="auto"/>
          <w:lang w:val="en-US" w:eastAsia="zh-CN"/>
        </w:rPr>
        <w:t>1.高水平组织</w:t>
      </w:r>
      <w:r>
        <w:rPr>
          <w:rFonts w:hint="default"/>
          <w:b/>
          <w:bCs/>
          <w:color w:val="auto"/>
        </w:rPr>
        <w:t>举办</w:t>
      </w:r>
      <w:r>
        <w:rPr>
          <w:rFonts w:hint="eastAsia"/>
          <w:b/>
          <w:bCs/>
          <w:color w:val="auto"/>
          <w:lang w:val="en-US" w:eastAsia="zh-CN"/>
        </w:rPr>
        <w:t>金融科技系列活动</w:t>
      </w:r>
      <w:bookmarkEnd w:id="58"/>
      <w:r>
        <w:rPr>
          <w:rFonts w:hint="eastAsia"/>
          <w:b/>
          <w:bCs/>
          <w:color w:val="auto"/>
          <w:lang w:eastAsia="zh-CN"/>
        </w:rPr>
        <w:t>。</w:t>
      </w:r>
      <w:r>
        <w:rPr>
          <w:rFonts w:hint="eastAsia"/>
          <w:b w:val="0"/>
          <w:bCs w:val="0"/>
          <w:color w:val="auto"/>
          <w:lang w:val="en-US" w:eastAsia="zh-CN"/>
        </w:rPr>
        <w:t>市政府每年举办金融科技节，打造具有全球影响力的金融科技年度盛会。市区联动组织举办金融科技大赛，进一步聚集政产学研用跨界资源，吸引金融科技优质项目在深落地，助力初创型金融科技类企业孵化成长。依托深圳国际金融博览会举办金融科技成果展示交易会，建设金融科技成果展示交易中心，吸引国内外企业长期合作或投资入驻，搭建金融科技研发成果向现实生产力转化的高端展销平台。</w:t>
      </w:r>
      <w:r>
        <w:rPr>
          <w:rFonts w:hint="default"/>
          <w:color w:val="auto"/>
        </w:rPr>
        <w:t>充分发挥深圳市金融科技协会作用，支持</w:t>
      </w:r>
      <w:r>
        <w:rPr>
          <w:rFonts w:hint="eastAsia"/>
          <w:color w:val="auto"/>
          <w:lang w:val="en-US" w:eastAsia="zh-CN"/>
        </w:rPr>
        <w:t>举办</w:t>
      </w:r>
      <w:r>
        <w:rPr>
          <w:rFonts w:hint="default"/>
          <w:color w:val="auto"/>
        </w:rPr>
        <w:t>湾区金融科技人才节</w:t>
      </w:r>
      <w:r>
        <w:rPr>
          <w:rFonts w:hint="eastAsia"/>
          <w:color w:val="auto"/>
          <w:lang w:eastAsia="zh-CN"/>
        </w:rPr>
        <w:t>，</w:t>
      </w:r>
      <w:r>
        <w:rPr>
          <w:rFonts w:hint="eastAsia"/>
          <w:color w:val="auto"/>
          <w:lang w:val="en-US" w:eastAsia="zh-CN"/>
        </w:rPr>
        <w:t>助力完善金融科技人才体系。鼓励各类市场主体举办常态化、多元化和具备针对性、实效性的金融科技技术研讨、案例分析、项目评选等活动，共同营造良好生态。</w:t>
      </w:r>
    </w:p>
    <w:p>
      <w:pPr>
        <w:bidi w:val="0"/>
        <w:rPr>
          <w:rFonts w:hint="default"/>
          <w:lang w:val="en-US" w:eastAsia="zh-CN"/>
        </w:rPr>
      </w:pPr>
    </w:p>
    <w:tbl>
      <w:tblPr>
        <w:tblStyle w:val="15"/>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5" w:type="dxa"/>
            <w:tcMar>
              <w:top w:w="57" w:type="dxa"/>
              <w:left w:w="170" w:type="dxa"/>
              <w:bottom w:w="57" w:type="dxa"/>
              <w:right w:w="170" w:type="dxa"/>
            </w:tcMar>
            <w:vAlign w:val="top"/>
          </w:tcPr>
          <w:p>
            <w:pPr>
              <w:pStyle w:val="2"/>
              <w:keepNext w:val="0"/>
              <w:keepLines w:val="0"/>
              <w:pageBreakBefore w:val="0"/>
              <w:widowControl w:val="0"/>
              <w:kinsoku/>
              <w:wordWrap/>
              <w:overflowPunct/>
              <w:topLinePunct w:val="0"/>
              <w:autoSpaceDE/>
              <w:autoSpaceDN/>
              <w:bidi w:val="0"/>
              <w:adjustRightInd/>
              <w:snapToGrid w:val="0"/>
              <w:spacing w:before="219" w:beforeLines="50" w:after="110" w:afterLines="25" w:line="440" w:lineRule="exact"/>
              <w:ind w:left="0" w:leftChars="0" w:firstLine="0" w:firstLineChars="0"/>
              <w:jc w:val="both"/>
              <w:textAlignment w:val="baseline"/>
              <w:rPr>
                <w:rFonts w:hint="eastAsia"/>
                <w:sz w:val="28"/>
                <w:szCs w:val="21"/>
                <w:lang w:val="en-US" w:eastAsia="zh-CN"/>
              </w:rPr>
            </w:pPr>
            <w:r>
              <w:rPr>
                <w:rFonts w:hint="eastAsia"/>
                <w:b/>
                <w:bCs/>
                <w:sz w:val="28"/>
                <w:szCs w:val="21"/>
                <w:lang w:val="en-US" w:eastAsia="zh-CN"/>
              </w:rPr>
              <w:t>专栏6：深圳国际金融科技节</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ascii="楷体_GB2312" w:hAnsi="楷体_GB2312" w:eastAsia="楷体_GB2312" w:cs="楷体_GB2312"/>
                <w:spacing w:val="-6"/>
                <w:sz w:val="28"/>
                <w:szCs w:val="21"/>
                <w:lang w:val="en-US" w:eastAsia="zh-CN"/>
              </w:rPr>
            </w:pPr>
            <w:r>
              <w:rPr>
                <w:rFonts w:hint="eastAsia" w:ascii="楷体_GB2312" w:hAnsi="楷体_GB2312" w:eastAsia="楷体_GB2312" w:cs="楷体_GB2312"/>
                <w:spacing w:val="-6"/>
                <w:sz w:val="28"/>
                <w:szCs w:val="21"/>
                <w:lang w:val="en-US" w:eastAsia="zh-CN"/>
              </w:rPr>
              <w:t>2022年4月7日，《深圳市扶持金融科技发展若干措施》出台实施，其中明确提出市政府每年举办金融科技节，期间举办金融科技大赛、金融科技论坛和金融科技展，并对“一节一赛一论坛一展览”给予相应政策支持，包括：</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ascii="楷体_GB2312" w:hAnsi="楷体_GB2312" w:eastAsia="楷体_GB2312" w:cs="楷体_GB2312"/>
                <w:spacing w:val="-6"/>
                <w:sz w:val="28"/>
                <w:szCs w:val="21"/>
                <w:lang w:val="en-US" w:eastAsia="zh-CN"/>
              </w:rPr>
            </w:pPr>
            <w:r>
              <w:rPr>
                <w:rFonts w:hint="eastAsia" w:ascii="楷体_GB2312" w:hAnsi="楷体_GB2312" w:eastAsia="楷体_GB2312" w:cs="楷体_GB2312"/>
                <w:spacing w:val="-6"/>
                <w:sz w:val="28"/>
                <w:szCs w:val="21"/>
                <w:lang w:val="en-US" w:eastAsia="zh-CN"/>
              </w:rPr>
              <w:t>对于金融科技大赛，以市场化加政府补贴的方式对经费予以保障，市人民政府按照经审计举办费用的50%给予不超过300万元的举办经费支持，对于大赛中获奖并选择落地深圳的项目给予合计1000万元的奖金支持，并在创业空间、创业服务、资金资助等方面提供一系列的配套扶持政策。</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ascii="楷体_GB2312" w:hAnsi="楷体_GB2312" w:eastAsia="楷体_GB2312" w:cs="楷体_GB2312"/>
                <w:spacing w:val="-6"/>
                <w:sz w:val="28"/>
                <w:szCs w:val="21"/>
                <w:lang w:val="en-US" w:eastAsia="zh-CN"/>
              </w:rPr>
            </w:pPr>
            <w:r>
              <w:rPr>
                <w:rFonts w:hint="eastAsia" w:ascii="楷体_GB2312" w:hAnsi="楷体_GB2312" w:eastAsia="楷体_GB2312" w:cs="楷体_GB2312"/>
                <w:spacing w:val="-6"/>
                <w:sz w:val="28"/>
                <w:szCs w:val="21"/>
                <w:lang w:val="en-US" w:eastAsia="zh-CN"/>
              </w:rPr>
              <w:t>对于在金融科技节期间举办的、经事前备案和事后审计的论坛及其他大型交流活动，按照经审计举办费用的50%对承办方给予总计不超过400万元的举办经费支持。</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ascii="楷体_GB2312" w:hAnsi="楷体_GB2312" w:eastAsia="楷体_GB2312" w:cs="楷体_GB2312"/>
                <w:spacing w:val="-6"/>
                <w:sz w:val="28"/>
                <w:szCs w:val="21"/>
                <w:lang w:val="en-US" w:eastAsia="zh-CN"/>
              </w:rPr>
            </w:pPr>
            <w:r>
              <w:rPr>
                <w:rFonts w:hint="eastAsia" w:ascii="楷体_GB2312" w:hAnsi="楷体_GB2312" w:eastAsia="楷体_GB2312" w:cs="楷体_GB2312"/>
                <w:spacing w:val="-6"/>
                <w:sz w:val="28"/>
                <w:szCs w:val="21"/>
                <w:lang w:val="en-US" w:eastAsia="zh-CN"/>
              </w:rPr>
              <w:t>依托现有的深圳国际金融博览会举办深圳金融科技成果展示交易会，按照经审计举办费用的50%对承办方给予总计不超过200万元的举办经费支持。</w:t>
            </w:r>
          </w:p>
          <w:p>
            <w:pPr>
              <w:pStyle w:val="2"/>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lang w:val="en-US" w:eastAsia="zh-CN"/>
              </w:rPr>
            </w:pPr>
            <w:r>
              <w:rPr>
                <w:rFonts w:hint="eastAsia" w:ascii="楷体_GB2312" w:hAnsi="楷体_GB2312" w:eastAsia="楷体_GB2312" w:cs="楷体_GB2312"/>
                <w:spacing w:val="-6"/>
                <w:sz w:val="28"/>
                <w:szCs w:val="21"/>
                <w:lang w:val="en-US" w:eastAsia="zh-CN"/>
              </w:rPr>
              <w:t>建设深圳金融科技成果展示交易中心，吸引国内外企业长期合作或投资入驻，打造全球优质金融科技产品发布高地。</w:t>
            </w:r>
          </w:p>
        </w:tc>
      </w:tr>
    </w:tbl>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lang w:val="en-US" w:eastAsia="zh-CN"/>
        </w:rPr>
      </w:pPr>
      <w:r>
        <w:rPr>
          <w:rFonts w:hint="eastAsia"/>
          <w:b/>
          <w:bCs/>
          <w:lang w:val="en-US" w:eastAsia="zh-CN"/>
        </w:rPr>
        <w:t>2.</w:t>
      </w:r>
      <w:r>
        <w:rPr>
          <w:rFonts w:hint="default"/>
          <w:b/>
          <w:bCs/>
          <w:lang w:val="en-US" w:eastAsia="zh-CN"/>
        </w:rPr>
        <w:t>加强</w:t>
      </w:r>
      <w:r>
        <w:rPr>
          <w:rFonts w:hint="eastAsia"/>
          <w:b/>
          <w:bCs/>
          <w:lang w:val="en-US" w:eastAsia="zh-CN"/>
        </w:rPr>
        <w:t>金融科技</w:t>
      </w:r>
      <w:r>
        <w:rPr>
          <w:rFonts w:hint="default"/>
          <w:b/>
          <w:bCs/>
          <w:lang w:val="en-US" w:eastAsia="zh-CN"/>
        </w:rPr>
        <w:t>国际交流合作</w:t>
      </w:r>
      <w:bookmarkEnd w:id="59"/>
      <w:r>
        <w:rPr>
          <w:rFonts w:hint="eastAsia"/>
          <w:b/>
          <w:bCs/>
          <w:lang w:val="en-US" w:eastAsia="zh-CN"/>
        </w:rPr>
        <w:t>。</w:t>
      </w:r>
      <w:r>
        <w:rPr>
          <w:rFonts w:hint="eastAsia"/>
          <w:lang w:val="en-US" w:eastAsia="zh-CN"/>
        </w:rPr>
        <w:t>引导鼓励与全球金融中心城市开展金融科技人才培养及交流合作，加强与新加坡金融科技节、香港金融科技周等国际活动的联动合作，逐步提升深圳金融科技的知名度。充分发挥深港澳金融科技联盟等组织作用，探索完善与香港、澳门在金融科技领域的合作交流机制；支持组织举办“粤港澳大湾区金融科技飞鱼企业评选”等特色活动，遴选挖掘一批竞争优势突出、科创能力强、增长潜力大的高成长性企业，促进粤港澳大湾区金融科技融合发展。鼓励国际组织、外资金融机构、专业中介机构等参与深圳金融科技中心建设，引荐全球金融科技要素资源，助力优秀金融科技类企业“走出去”和优质金融科技项目“引进来”。充分利用各种媒体渠道，加强深圳金融科技中心城市建设的国际宣传。</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color w:val="auto"/>
        </w:rPr>
      </w:pPr>
      <w:bookmarkStart w:id="60" w:name="_Toc1796965817"/>
      <w:bookmarkStart w:id="61" w:name="_Toc5930"/>
      <w:bookmarkStart w:id="62" w:name="_Toc5222"/>
      <w:r>
        <w:rPr>
          <w:rFonts w:hint="eastAsia" w:ascii="Times New Roman" w:hAnsi="Times New Roman" w:cs="Times New Roman"/>
          <w:color w:val="auto"/>
          <w:lang w:val="en-US" w:eastAsia="zh-CN"/>
        </w:rPr>
        <w:t>四、</w:t>
      </w:r>
      <w:r>
        <w:rPr>
          <w:rFonts w:hint="default" w:ascii="Times New Roman" w:hAnsi="Times New Roman" w:cs="Times New Roman"/>
          <w:color w:val="auto"/>
        </w:rPr>
        <w:t>保障措施</w:t>
      </w:r>
      <w:bookmarkEnd w:id="60"/>
      <w:bookmarkEnd w:id="61"/>
      <w:bookmarkEnd w:id="62"/>
    </w:p>
    <w:p>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color w:val="auto"/>
          <w:lang w:val="en-US" w:eastAsia="zh-CN"/>
        </w:rPr>
      </w:pPr>
      <w:bookmarkStart w:id="63" w:name="_Toc17517"/>
      <w:bookmarkStart w:id="64" w:name="_Toc15920"/>
      <w:bookmarkStart w:id="65" w:name="_Toc563530037"/>
      <w:r>
        <w:rPr>
          <w:rFonts w:hint="eastAsia" w:ascii="Times New Roman" w:hAnsi="Times New Roman" w:eastAsia="楷体_GB2312" w:cs="Times New Roman"/>
          <w:color w:val="auto"/>
        </w:rPr>
        <w:t>（一）</w:t>
      </w:r>
      <w:r>
        <w:rPr>
          <w:rFonts w:hint="eastAsia" w:ascii="Times New Roman" w:hAnsi="Times New Roman" w:cs="Times New Roman"/>
          <w:color w:val="auto"/>
          <w:lang w:val="en-US" w:eastAsia="zh-CN"/>
        </w:rPr>
        <w:t>加强</w:t>
      </w:r>
      <w:r>
        <w:rPr>
          <w:rFonts w:hint="eastAsia" w:ascii="Times New Roman" w:hAnsi="Times New Roman" w:eastAsia="楷体_GB2312" w:cs="Times New Roman"/>
          <w:color w:val="auto"/>
        </w:rPr>
        <w:t>组织</w:t>
      </w:r>
      <w:bookmarkEnd w:id="63"/>
      <w:bookmarkEnd w:id="64"/>
      <w:r>
        <w:rPr>
          <w:rFonts w:hint="eastAsia" w:ascii="Times New Roman" w:hAnsi="Times New Roman" w:cs="Times New Roman"/>
          <w:color w:val="auto"/>
          <w:lang w:val="en-US" w:eastAsia="zh-CN"/>
        </w:rPr>
        <w:t>统筹</w:t>
      </w:r>
      <w:bookmarkEnd w:id="6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eastAsia="仿宋_GB2312"/>
          <w:color w:val="auto"/>
          <w:lang w:val="en-US" w:eastAsia="zh-CN"/>
        </w:rPr>
      </w:pPr>
      <w:bookmarkStart w:id="66" w:name="_Toc12408"/>
      <w:r>
        <w:rPr>
          <w:rFonts w:hint="default" w:ascii="仿宋_GB2312" w:hAnsi="仿宋_GB2312" w:eastAsia="仿宋_GB2312" w:cs="仿宋_GB2312"/>
          <w:b/>
          <w:bCs/>
          <w:color w:val="auto"/>
        </w:rPr>
        <w:t>1.加强党的领导</w:t>
      </w:r>
      <w:bookmarkEnd w:id="66"/>
      <w:r>
        <w:rPr>
          <w:rFonts w:hint="eastAsia" w:cs="仿宋_GB2312"/>
          <w:b/>
          <w:bCs/>
          <w:color w:val="auto"/>
          <w:lang w:eastAsia="zh-CN"/>
        </w:rPr>
        <w:t>。</w:t>
      </w:r>
      <w:bookmarkStart w:id="67" w:name="_Toc29056"/>
      <w:r>
        <w:rPr>
          <w:rFonts w:hint="eastAsia" w:cs="仿宋_GB2312"/>
          <w:b w:val="0"/>
          <w:bCs w:val="0"/>
          <w:color w:val="auto"/>
          <w:lang w:val="en-US" w:eastAsia="zh-CN"/>
        </w:rPr>
        <w:t>始终</w:t>
      </w:r>
      <w:r>
        <w:rPr>
          <w:rFonts w:hint="eastAsia"/>
          <w:color w:val="auto"/>
        </w:rPr>
        <w:t>坚持党对金融工作的集中统一领导，</w:t>
      </w:r>
      <w:r>
        <w:rPr>
          <w:rFonts w:hint="eastAsia"/>
          <w:color w:val="auto"/>
          <w:lang w:val="en-US" w:eastAsia="zh-CN"/>
        </w:rPr>
        <w:t>深刻学习领会党中央、国务院决策部署精神，确保金融科技发展的正确方向。</w:t>
      </w:r>
      <w:r>
        <w:rPr>
          <w:rFonts w:hint="eastAsia"/>
          <w:color w:val="auto"/>
        </w:rPr>
        <w:t>充分发挥党建引领作用，</w:t>
      </w:r>
      <w:r>
        <w:rPr>
          <w:rFonts w:hint="eastAsia"/>
          <w:color w:val="auto"/>
          <w:lang w:val="en-US" w:eastAsia="zh-CN"/>
        </w:rPr>
        <w:t>扎实推进新兴金融行业党的</w:t>
      </w:r>
      <w:r>
        <w:rPr>
          <w:rFonts w:hint="eastAsia"/>
          <w:color w:val="auto"/>
        </w:rPr>
        <w:t>组织和党的工作“两个覆盖”</w:t>
      </w:r>
      <w:r>
        <w:rPr>
          <w:rFonts w:hint="eastAsia"/>
          <w:color w:val="auto"/>
          <w:lang w:eastAsia="zh-CN"/>
        </w:rPr>
        <w:t>。</w:t>
      </w:r>
      <w:r>
        <w:rPr>
          <w:rFonts w:hint="eastAsia"/>
          <w:color w:val="auto"/>
          <w:lang w:val="en-US" w:eastAsia="zh-CN"/>
        </w:rPr>
        <w:t>引导各类金融科技主体加强基层党组织建设，切实</w:t>
      </w:r>
      <w:r>
        <w:rPr>
          <w:rFonts w:hint="eastAsia"/>
          <w:color w:val="auto"/>
        </w:rPr>
        <w:t>发挥企业党组织的领导核心和政治核心作用，</w:t>
      </w:r>
      <w:r>
        <w:rPr>
          <w:rFonts w:hint="eastAsia"/>
          <w:color w:val="auto"/>
          <w:lang w:val="en-US" w:eastAsia="zh-CN"/>
        </w:rPr>
        <w:t>牢固树立宗旨意识，让金融科技发展成果更广泛深入地惠及广大人民群众，助力实现共同富裕。</w:t>
      </w:r>
    </w:p>
    <w:bookmarkEnd w:id="67"/>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color w:val="auto"/>
        </w:rPr>
      </w:pPr>
      <w:bookmarkStart w:id="68" w:name="_Toc15609"/>
      <w:r>
        <w:rPr>
          <w:rFonts w:hint="default" w:ascii="仿宋_GB2312" w:hAnsi="仿宋_GB2312" w:eastAsia="仿宋_GB2312" w:cs="仿宋_GB2312"/>
          <w:b/>
          <w:bCs/>
          <w:color w:val="auto"/>
        </w:rPr>
        <w:t>2.</w:t>
      </w:r>
      <w:bookmarkEnd w:id="68"/>
      <w:r>
        <w:rPr>
          <w:rFonts w:hint="eastAsia" w:cs="仿宋_GB2312"/>
          <w:b/>
          <w:bCs/>
          <w:color w:val="auto"/>
          <w:lang w:val="en-US" w:eastAsia="zh-CN"/>
        </w:rPr>
        <w:t>强化协同联动</w:t>
      </w:r>
      <w:r>
        <w:rPr>
          <w:rFonts w:hint="eastAsia" w:cs="仿宋_GB2312"/>
          <w:b/>
          <w:bCs/>
          <w:color w:val="auto"/>
          <w:lang w:eastAsia="zh-CN"/>
        </w:rPr>
        <w:t>。</w:t>
      </w:r>
      <w:bookmarkStart w:id="69" w:name="_Toc27724"/>
      <w:r>
        <w:rPr>
          <w:rFonts w:hint="eastAsia"/>
          <w:color w:val="auto"/>
          <w:lang w:val="en-US" w:eastAsia="zh-CN"/>
        </w:rPr>
        <w:t>构建</w:t>
      </w:r>
      <w:r>
        <w:rPr>
          <w:rFonts w:hint="eastAsia"/>
          <w:color w:val="auto"/>
        </w:rPr>
        <w:t>市、区金融工作部门常态化沟通协调机制，在金融</w:t>
      </w:r>
      <w:r>
        <w:rPr>
          <w:rFonts w:hint="eastAsia"/>
          <w:color w:val="auto"/>
          <w:lang w:val="en-US" w:eastAsia="zh-CN"/>
        </w:rPr>
        <w:t>科技空间</w:t>
      </w:r>
      <w:r>
        <w:rPr>
          <w:rFonts w:hint="eastAsia"/>
          <w:color w:val="auto"/>
        </w:rPr>
        <w:t>布局、</w:t>
      </w:r>
      <w:r>
        <w:rPr>
          <w:rFonts w:hint="eastAsia"/>
          <w:color w:val="auto"/>
          <w:lang w:val="en-US" w:eastAsia="zh-CN"/>
        </w:rPr>
        <w:t>重大</w:t>
      </w:r>
      <w:r>
        <w:rPr>
          <w:rFonts w:hint="eastAsia"/>
          <w:color w:val="auto"/>
        </w:rPr>
        <w:t>项目</w:t>
      </w:r>
      <w:r>
        <w:rPr>
          <w:rFonts w:hint="eastAsia"/>
          <w:color w:val="auto"/>
          <w:lang w:val="en-US" w:eastAsia="zh-CN"/>
        </w:rPr>
        <w:t>落地</w:t>
      </w:r>
      <w:r>
        <w:rPr>
          <w:rFonts w:hint="eastAsia"/>
          <w:color w:val="auto"/>
        </w:rPr>
        <w:t>、</w:t>
      </w:r>
      <w:r>
        <w:rPr>
          <w:rFonts w:hint="eastAsia"/>
          <w:color w:val="auto"/>
          <w:lang w:val="en-US" w:eastAsia="zh-CN"/>
        </w:rPr>
        <w:t>配套资源支撑</w:t>
      </w:r>
      <w:r>
        <w:rPr>
          <w:rFonts w:hint="eastAsia"/>
          <w:color w:val="auto"/>
        </w:rPr>
        <w:t>等方面加强</w:t>
      </w:r>
      <w:r>
        <w:rPr>
          <w:rFonts w:hint="eastAsia"/>
          <w:color w:val="auto"/>
          <w:lang w:val="en-US" w:eastAsia="zh-CN"/>
        </w:rPr>
        <w:t>联动</w:t>
      </w:r>
      <w:r>
        <w:rPr>
          <w:rFonts w:hint="eastAsia"/>
          <w:color w:val="auto"/>
        </w:rPr>
        <w:t>合作</w:t>
      </w:r>
      <w:r>
        <w:rPr>
          <w:rFonts w:hint="eastAsia"/>
          <w:color w:val="auto"/>
          <w:lang w:eastAsia="zh-CN"/>
        </w:rPr>
        <w:t>。</w:t>
      </w:r>
      <w:r>
        <w:rPr>
          <w:rFonts w:hint="eastAsia"/>
          <w:color w:val="auto"/>
        </w:rPr>
        <w:t>鼓励各区采取差异化措施支持辖区金融</w:t>
      </w:r>
      <w:r>
        <w:rPr>
          <w:rFonts w:hint="eastAsia"/>
          <w:color w:val="auto"/>
          <w:lang w:val="en-US" w:eastAsia="zh-CN"/>
        </w:rPr>
        <w:t>科技</w:t>
      </w:r>
      <w:r>
        <w:rPr>
          <w:rFonts w:hint="eastAsia"/>
          <w:color w:val="auto"/>
        </w:rPr>
        <w:t>产业发展，形成</w:t>
      </w:r>
      <w:r>
        <w:rPr>
          <w:rFonts w:hint="eastAsia"/>
          <w:color w:val="auto"/>
          <w:lang w:val="en-US" w:eastAsia="zh-CN"/>
        </w:rPr>
        <w:t>协同</w:t>
      </w:r>
      <w:r>
        <w:rPr>
          <w:rFonts w:hint="eastAsia"/>
          <w:color w:val="auto"/>
        </w:rPr>
        <w:t>互补格局。加强与</w:t>
      </w:r>
      <w:r>
        <w:rPr>
          <w:rFonts w:hint="eastAsia"/>
          <w:color w:val="auto"/>
          <w:lang w:val="en-US" w:eastAsia="zh-CN"/>
        </w:rPr>
        <w:t>驻深</w:t>
      </w:r>
      <w:r>
        <w:rPr>
          <w:rFonts w:hint="eastAsia"/>
          <w:color w:val="auto"/>
        </w:rPr>
        <w:t>“一行两</w:t>
      </w:r>
      <w:r>
        <w:rPr>
          <w:rFonts w:hint="eastAsia"/>
          <w:color w:val="auto"/>
          <w:lang w:val="en-US" w:eastAsia="zh-CN"/>
        </w:rPr>
        <w:t>局</w:t>
      </w:r>
      <w:r>
        <w:rPr>
          <w:rFonts w:hint="eastAsia"/>
          <w:color w:val="auto"/>
        </w:rPr>
        <w:t>”</w:t>
      </w:r>
      <w:r>
        <w:rPr>
          <w:rFonts w:hint="eastAsia"/>
          <w:color w:val="auto"/>
          <w:lang w:val="en-US" w:eastAsia="zh-CN"/>
        </w:rPr>
        <w:t>金融监管部门</w:t>
      </w:r>
      <w:r>
        <w:rPr>
          <w:rFonts w:hint="eastAsia"/>
          <w:color w:val="auto"/>
        </w:rPr>
        <w:t>的</w:t>
      </w:r>
      <w:r>
        <w:rPr>
          <w:rFonts w:hint="eastAsia"/>
          <w:color w:val="auto"/>
          <w:lang w:val="en-US" w:eastAsia="zh-CN"/>
        </w:rPr>
        <w:t>信息共享、</w:t>
      </w:r>
      <w:r>
        <w:rPr>
          <w:rFonts w:hint="eastAsia"/>
          <w:color w:val="auto"/>
        </w:rPr>
        <w:t>沟通协作，</w:t>
      </w:r>
      <w:r>
        <w:rPr>
          <w:rFonts w:hint="eastAsia"/>
          <w:color w:val="auto"/>
          <w:lang w:val="en-US" w:eastAsia="zh-CN"/>
        </w:rPr>
        <w:t>共同深化金融科技创新试点，及时研究金融科技发展过程中面临的痛点难点问题和相应对策措施，</w:t>
      </w:r>
      <w:r>
        <w:rPr>
          <w:rFonts w:hint="eastAsia"/>
          <w:color w:val="auto"/>
        </w:rPr>
        <w:t>形成统筹推进规划实施的联动合力。</w:t>
      </w:r>
    </w:p>
    <w:bookmarkEnd w:id="69"/>
    <w:p>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eastAsia="楷体_GB2312"/>
          <w:color w:val="auto"/>
          <w:lang w:val="en-US" w:eastAsia="zh-CN"/>
        </w:rPr>
      </w:pPr>
      <w:bookmarkStart w:id="70" w:name="_Toc16885"/>
      <w:bookmarkStart w:id="71" w:name="_Toc6427"/>
      <w:bookmarkStart w:id="72" w:name="_Toc486908170"/>
      <w:r>
        <w:rPr>
          <w:rFonts w:hint="eastAsia"/>
          <w:color w:val="auto"/>
        </w:rPr>
        <w:t>（二）</w:t>
      </w:r>
      <w:bookmarkEnd w:id="70"/>
      <w:bookmarkEnd w:id="71"/>
      <w:r>
        <w:rPr>
          <w:rFonts w:hint="eastAsia"/>
          <w:color w:val="auto"/>
          <w:lang w:val="en-US" w:eastAsia="zh-CN"/>
        </w:rPr>
        <w:t>完善配套体系</w:t>
      </w:r>
      <w:bookmarkEnd w:id="72"/>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color w:val="auto"/>
        </w:rPr>
      </w:pPr>
      <w:bookmarkStart w:id="73" w:name="_Toc27483"/>
      <w:bookmarkStart w:id="74" w:name="_Toc22233"/>
      <w:r>
        <w:rPr>
          <w:rFonts w:hint="eastAsia"/>
          <w:b/>
          <w:bCs/>
          <w:color w:val="auto"/>
          <w:lang w:val="en-US" w:eastAsia="zh-CN"/>
        </w:rPr>
        <w:t>1.建立监测评估机制</w:t>
      </w:r>
      <w:r>
        <w:rPr>
          <w:rFonts w:hint="eastAsia"/>
          <w:color w:val="auto"/>
          <w:lang w:val="en-US" w:eastAsia="zh-CN"/>
        </w:rPr>
        <w:t>。</w:t>
      </w:r>
      <w:r>
        <w:rPr>
          <w:rFonts w:hint="eastAsia"/>
          <w:color w:val="auto"/>
        </w:rPr>
        <w:t>密切跟踪</w:t>
      </w:r>
      <w:r>
        <w:rPr>
          <w:rFonts w:hint="eastAsia"/>
          <w:color w:val="auto"/>
          <w:lang w:val="en-US" w:eastAsia="zh-CN"/>
        </w:rPr>
        <w:t>国内外金融科技发展的新趋势、新技术、新形势</w:t>
      </w:r>
      <w:r>
        <w:rPr>
          <w:rFonts w:hint="eastAsia"/>
          <w:color w:val="auto"/>
        </w:rPr>
        <w:t>，</w:t>
      </w:r>
      <w:r>
        <w:rPr>
          <w:rFonts w:hint="eastAsia"/>
          <w:color w:val="auto"/>
          <w:lang w:val="en-US" w:eastAsia="zh-CN"/>
        </w:rPr>
        <w:t>加强基础理论、</w:t>
      </w:r>
      <w:r>
        <w:rPr>
          <w:rFonts w:hint="eastAsia"/>
          <w:color w:val="auto"/>
        </w:rPr>
        <w:t>政策</w:t>
      </w:r>
      <w:r>
        <w:rPr>
          <w:rFonts w:hint="eastAsia"/>
          <w:color w:val="auto"/>
          <w:lang w:val="en-US" w:eastAsia="zh-CN"/>
        </w:rPr>
        <w:t>导向和实践案例</w:t>
      </w:r>
      <w:r>
        <w:rPr>
          <w:rFonts w:hint="eastAsia"/>
          <w:color w:val="auto"/>
        </w:rPr>
        <w:t>研究</w:t>
      </w:r>
      <w:r>
        <w:rPr>
          <w:rFonts w:hint="eastAsia"/>
          <w:color w:val="auto"/>
          <w:lang w:eastAsia="zh-CN"/>
        </w:rPr>
        <w:t>。</w:t>
      </w:r>
      <w:r>
        <w:rPr>
          <w:rFonts w:hint="default"/>
          <w:color w:val="auto"/>
        </w:rPr>
        <w:t>探索建立科学合理的金融科技产业统计监测体系，</w:t>
      </w:r>
      <w:r>
        <w:rPr>
          <w:rFonts w:hint="eastAsia"/>
          <w:color w:val="auto"/>
        </w:rPr>
        <w:t>加强对本市金融</w:t>
      </w:r>
      <w:r>
        <w:rPr>
          <w:rFonts w:hint="eastAsia"/>
          <w:color w:val="auto"/>
          <w:lang w:val="en-US" w:eastAsia="zh-CN"/>
        </w:rPr>
        <w:t>科技</w:t>
      </w:r>
      <w:r>
        <w:rPr>
          <w:rFonts w:hint="eastAsia"/>
          <w:color w:val="auto"/>
        </w:rPr>
        <w:t>运行情况的分析研判。</w:t>
      </w:r>
      <w:r>
        <w:rPr>
          <w:rFonts w:hint="eastAsia"/>
          <w:color w:val="auto"/>
          <w:lang w:val="en-US" w:eastAsia="zh-CN"/>
        </w:rPr>
        <w:t>加强精细化管理，</w:t>
      </w:r>
      <w:r>
        <w:rPr>
          <w:rFonts w:hint="eastAsia"/>
          <w:color w:val="auto"/>
        </w:rPr>
        <w:t>根据规划实施情况和形势变化，</w:t>
      </w:r>
      <w:r>
        <w:rPr>
          <w:rFonts w:hint="eastAsia"/>
          <w:color w:val="auto"/>
          <w:lang w:val="en-US" w:eastAsia="zh-CN"/>
        </w:rPr>
        <w:t>适时</w:t>
      </w:r>
      <w:r>
        <w:rPr>
          <w:rFonts w:hint="eastAsia"/>
          <w:color w:val="auto"/>
        </w:rPr>
        <w:t>对规划设定目标和</w:t>
      </w:r>
      <w:r>
        <w:rPr>
          <w:rFonts w:hint="eastAsia"/>
          <w:color w:val="auto"/>
          <w:lang w:eastAsia="zh-CN"/>
        </w:rPr>
        <w:t>具体落实措施作出</w:t>
      </w:r>
      <w:r>
        <w:rPr>
          <w:rFonts w:hint="eastAsia"/>
          <w:color w:val="auto"/>
          <w:lang w:val="en-US" w:eastAsia="zh-CN"/>
        </w:rPr>
        <w:t>相应</w:t>
      </w:r>
      <w:r>
        <w:rPr>
          <w:rFonts w:hint="eastAsia"/>
          <w:color w:val="auto"/>
        </w:rPr>
        <w:t>调整，确保顺应新形势、把握新机遇。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_GB2312"/>
          <w:color w:val="auto"/>
          <w:lang w:eastAsia="zh-CN"/>
        </w:rPr>
      </w:pPr>
      <w:r>
        <w:rPr>
          <w:rFonts w:hint="eastAsia"/>
          <w:b/>
          <w:bCs/>
          <w:color w:val="auto"/>
          <w:lang w:val="en-US" w:eastAsia="zh-CN"/>
        </w:rPr>
        <w:t>2.健全政策支持体系</w:t>
      </w:r>
      <w:r>
        <w:rPr>
          <w:rFonts w:hint="eastAsia"/>
          <w:color w:val="auto"/>
          <w:lang w:val="en-US" w:eastAsia="zh-CN"/>
        </w:rPr>
        <w:t>。</w:t>
      </w:r>
      <w:r>
        <w:rPr>
          <w:rFonts w:hint="eastAsia"/>
          <w:color w:val="auto"/>
        </w:rPr>
        <w:t>针对金融</w:t>
      </w:r>
      <w:r>
        <w:rPr>
          <w:rFonts w:hint="eastAsia"/>
          <w:color w:val="auto"/>
          <w:lang w:eastAsia="zh-CN"/>
        </w:rPr>
        <w:t>科技基础设施、重点机构</w:t>
      </w:r>
      <w:r>
        <w:rPr>
          <w:rFonts w:hint="eastAsia"/>
          <w:color w:val="auto"/>
        </w:rPr>
        <w:t>、人才培育、</w:t>
      </w:r>
      <w:r>
        <w:rPr>
          <w:rFonts w:hint="eastAsia"/>
          <w:color w:val="auto"/>
          <w:lang w:eastAsia="zh-CN"/>
        </w:rPr>
        <w:t>项目引进、论坛赛事等方面，不断优化引导支持政策</w:t>
      </w:r>
      <w:r>
        <w:rPr>
          <w:rFonts w:hint="eastAsia"/>
          <w:color w:val="auto"/>
        </w:rPr>
        <w:t>，完善激励保障机制，提高政策的针对性和有效性。</w:t>
      </w:r>
      <w:bookmarkStart w:id="75" w:name="_Toc16318"/>
      <w:r>
        <w:rPr>
          <w:rFonts w:hint="eastAsia"/>
          <w:color w:val="auto"/>
          <w:lang w:eastAsia="zh-CN"/>
        </w:rPr>
        <w:t>加强对政策实施情况的跟踪评估，与时俱进进行修订或清理。</w:t>
      </w:r>
      <w:r>
        <w:rPr>
          <w:rFonts w:hint="eastAsia"/>
          <w:color w:val="auto"/>
        </w:rPr>
        <w:t>充分把握“双区”</w:t>
      </w:r>
      <w:r>
        <w:rPr>
          <w:rFonts w:hint="eastAsia"/>
          <w:color w:val="auto"/>
          <w:lang w:eastAsia="zh-CN"/>
        </w:rPr>
        <w:t>建设、</w:t>
      </w:r>
      <w:r>
        <w:rPr>
          <w:rFonts w:hint="eastAsia"/>
          <w:color w:val="auto"/>
        </w:rPr>
        <w:t>“双区”</w:t>
      </w:r>
      <w:r>
        <w:rPr>
          <w:rFonts w:hint="eastAsia"/>
          <w:color w:val="auto"/>
          <w:lang w:eastAsia="zh-CN"/>
        </w:rPr>
        <w:t>叠加、“双改”示范</w:t>
      </w:r>
      <w:r>
        <w:rPr>
          <w:rFonts w:hint="eastAsia"/>
          <w:color w:val="auto"/>
        </w:rPr>
        <w:t>重大历史机遇，</w:t>
      </w:r>
      <w:r>
        <w:rPr>
          <w:rFonts w:hint="eastAsia"/>
          <w:color w:val="auto"/>
          <w:lang w:eastAsia="zh-CN"/>
        </w:rPr>
        <w:t>积极争取国家部委对深圳金融科技发展给予指导支持，配合推动金融科技领域改革项目、创新试点等在深落地。</w:t>
      </w:r>
    </w:p>
    <w:bookmarkEnd w:id="75"/>
    <w:p>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eastAsia="楷体_GB2312"/>
          <w:color w:val="auto"/>
          <w:lang w:val="en-US" w:eastAsia="zh-CN"/>
        </w:rPr>
      </w:pPr>
      <w:bookmarkStart w:id="76" w:name="_Toc26976"/>
      <w:bookmarkStart w:id="77" w:name="_Toc30327"/>
      <w:bookmarkStart w:id="78" w:name="_Toc621433948"/>
      <w:r>
        <w:rPr>
          <w:rFonts w:hint="eastAsia"/>
          <w:color w:val="auto"/>
        </w:rPr>
        <w:t>（三）</w:t>
      </w:r>
      <w:bookmarkEnd w:id="76"/>
      <w:bookmarkEnd w:id="77"/>
      <w:r>
        <w:rPr>
          <w:rFonts w:hint="eastAsia"/>
          <w:color w:val="auto"/>
          <w:lang w:val="en-US" w:eastAsia="zh-CN"/>
        </w:rPr>
        <w:t>营造良好环境</w:t>
      </w:r>
      <w:bookmarkEnd w:id="78"/>
    </w:p>
    <w:p>
      <w:pPr>
        <w:pStyle w:val="2"/>
        <w:keepNext w:val="0"/>
        <w:keepLines w:val="0"/>
        <w:pageBreakBefore w:val="0"/>
        <w:widowControl w:val="0"/>
        <w:kinsoku/>
        <w:wordWrap/>
        <w:overflowPunct/>
        <w:topLinePunct w:val="0"/>
        <w:autoSpaceDE/>
        <w:autoSpaceDN/>
        <w:bidi w:val="0"/>
        <w:adjustRightInd/>
        <w:snapToGrid/>
        <w:spacing w:line="560" w:lineRule="exact"/>
        <w:rPr>
          <w:rFonts w:hint="eastAsia"/>
          <w:color w:val="auto"/>
          <w:lang w:val="en-US" w:eastAsia="zh-CN"/>
        </w:rPr>
      </w:pPr>
      <w:r>
        <w:rPr>
          <w:rFonts w:hint="eastAsia"/>
          <w:b/>
          <w:bCs/>
          <w:color w:val="auto"/>
          <w:lang w:val="en-US" w:eastAsia="zh-CN"/>
        </w:rPr>
        <w:t>1.完善公共服务体系</w:t>
      </w:r>
      <w:r>
        <w:rPr>
          <w:rFonts w:hint="eastAsia"/>
          <w:color w:val="auto"/>
          <w:lang w:val="en-US" w:eastAsia="zh-CN"/>
        </w:rPr>
        <w:t>。进一步推动政务数据在金融领域的开放、共享和应用，完善地方金融信息基础设施，在保护数据隐私和安全的前提下，为金融行业发展提供安全便利的数据环境，推动政务数据、企业数据和金融数据的融合应用。加强社会信用体系建设，支持相关部门与征信机构在信用记录归集、信用信息共享、信用风险预警、失信案例核查等方面加强合作。鼓励会计、法律、咨询、评估、评级等中介机构专业化、高端化发展，为金融科技类企业提供优质的专业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rPr>
      </w:pPr>
      <w:r>
        <w:rPr>
          <w:rFonts w:hint="eastAsia"/>
          <w:b/>
          <w:bCs/>
          <w:color w:val="auto"/>
          <w:lang w:val="en-US" w:eastAsia="zh-CN"/>
        </w:rPr>
        <w:t>2.营造良好环境氛围</w:t>
      </w:r>
      <w:r>
        <w:rPr>
          <w:rFonts w:hint="eastAsia"/>
          <w:color w:val="auto"/>
          <w:lang w:val="en-US" w:eastAsia="zh-CN"/>
        </w:rPr>
        <w:t>。加强金融科技相关法律法规制度宣传教育和政策解读，增强从业人员法治观念和合规意识，夯实可持续发展的法治保障。充分发挥行业协会、产业联盟、专业委员会等桥梁纽带作用，加强行业自律管理，凝聚行业发展共识。充分发挥市场配置资源的决定性作用，推动技术、数据、资本、人力等各类要素顺畅流动。深入推进深圳市居民金融素养提升工程，持续加强投资者风险教育。加强舆论宣传和信息披露，</w:t>
      </w:r>
      <w:r>
        <w:rPr>
          <w:rFonts w:hint="eastAsia"/>
          <w:color w:val="auto"/>
        </w:rPr>
        <w:t>畅通社会监督渠道，增强公众的认知、认可和认同，营造全社会共同参与和支持规划实施的良好氛围。</w:t>
      </w:r>
      <w:bookmarkEnd w:id="73"/>
      <w:bookmarkEnd w:id="74"/>
    </w:p>
    <w:sectPr>
      <w:footerReference r:id="rId9" w:type="default"/>
      <w:footerReference r:id="rId10" w:type="even"/>
      <w:pgSz w:w="11906" w:h="16838"/>
      <w:pgMar w:top="1984" w:right="1474" w:bottom="1417" w:left="1587" w:header="1361" w:footer="850" w:gutter="0"/>
      <w:pgNumType w:fmt="decimal" w:start="1"/>
      <w:cols w:space="0" w:num="1"/>
      <w:rtlGutter w:val="0"/>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3D809D-EC00-4682-89DC-4E900B4EE4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C542814-2E06-401B-AF50-28D8C3FC4D19}"/>
  </w:font>
  <w:font w:name="楷体_GB2312">
    <w:panose1 w:val="02010609030101010101"/>
    <w:charset w:val="86"/>
    <w:family w:val="modern"/>
    <w:pitch w:val="default"/>
    <w:sig w:usb0="00000001" w:usb1="080E0000" w:usb2="00000000" w:usb3="00000000" w:csb0="00040000" w:csb1="00000000"/>
    <w:embedRegular r:id="rId3" w:fontKey="{323E3A32-F9F6-4F59-B89E-E8443AE85CBC}"/>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039136ED-42EB-46DC-A2C1-B819ACB8A29E}"/>
  </w:font>
  <w:font w:name="方正小标宋_GBK">
    <w:panose1 w:val="02000000000000000000"/>
    <w:charset w:val="86"/>
    <w:family w:val="auto"/>
    <w:pitch w:val="default"/>
    <w:sig w:usb0="A00002BF" w:usb1="38CF7CFA" w:usb2="00082016" w:usb3="00000000" w:csb0="00040001" w:csb1="00000000"/>
    <w:embedRegular r:id="rId5" w:fontKey="{F155C6CA-9B92-48AD-BD18-4F5F62512138}"/>
  </w:font>
  <w:font w:name="楷体">
    <w:panose1 w:val="02010609060101010101"/>
    <w:charset w:val="86"/>
    <w:family w:val="modern"/>
    <w:pitch w:val="default"/>
    <w:sig w:usb0="800002BF" w:usb1="38CF7CFA" w:usb2="00000016" w:usb3="00000000" w:csb0="00040001" w:csb1="00000000"/>
    <w:embedRegular r:id="rId6" w:fontKey="{1E121A9E-96F5-454C-A9DD-42284DECE403}"/>
  </w:font>
  <w:font w:name="方正楷体_GB2312">
    <w:panose1 w:val="02000000000000000000"/>
    <w:charset w:val="86"/>
    <w:family w:val="auto"/>
    <w:pitch w:val="default"/>
    <w:sig w:usb0="A00002BF" w:usb1="184F6CFA" w:usb2="00000012" w:usb3="00000000" w:csb0="00040001" w:csb1="00000000"/>
    <w:embedRegular r:id="rId7" w:fontKey="{BF8ED63E-34F5-471D-8A65-4AD8D67723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仿宋_GB2312"/>
        <w:sz w:val="28"/>
        <w:szCs w:val="28"/>
      </w:rP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8"/>
        <w:szCs w:val="28"/>
      </w:rPr>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仿宋_GB2312"/>
        <w:sz w:val="28"/>
        <w:szCs w:val="28"/>
      </w:rPr>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8"/>
        <w:szCs w:val="28"/>
      </w:rPr>
    </w:pP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9085806"/>
                          </w:sdtPr>
                          <w:sdtEndPr>
                            <w:rPr>
                              <w:rFonts w:hint="eastAsia" w:ascii="仿宋_GB2312"/>
                              <w:sz w:val="28"/>
                              <w:szCs w:val="28"/>
                            </w:rPr>
                          </w:sdtEndPr>
                          <w:sdtContent>
                            <w:p>
                              <w:pPr>
                                <w:pStyle w:val="8"/>
                                <w:jc w:val="right"/>
                                <w:rPr>
                                  <w:rFonts w:hint="eastAsia" w:ascii="仿宋_GB2312"/>
                                  <w:sz w:val="28"/>
                                  <w:szCs w:val="28"/>
                                </w:rPr>
                              </w:pPr>
                              <w:r>
                                <w:rPr>
                                  <w:rFonts w:hint="eastAsia" w:ascii="仿宋_GB2312"/>
                                  <w:sz w:val="28"/>
                                  <w:szCs w:val="28"/>
                                </w:rPr>
                                <w:t xml:space="preserve">— </w:t>
                              </w: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hint="eastAsia" w:ascii="仿宋_GB2312"/>
                                  <w:sz w:val="28"/>
                                  <w:szCs w:val="28"/>
                                  <w:lang w:val="zh-CN"/>
                                </w:rPr>
                                <w:t>2</w:t>
                              </w:r>
                              <w:r>
                                <w:rPr>
                                  <w:rFonts w:hint="eastAsia" w:ascii="仿宋_GB2312"/>
                                  <w:sz w:val="28"/>
                                  <w:szCs w:val="28"/>
                                </w:rPr>
                                <w:fldChar w:fldCharType="end"/>
                              </w:r>
                              <w:r>
                                <w:rPr>
                                  <w:rFonts w:ascii="仿宋_GB2312"/>
                                  <w:sz w:val="28"/>
                                  <w:szCs w:val="28"/>
                                </w:rPr>
                                <w:t xml:space="preserve"> </w:t>
                              </w:r>
                              <w:r>
                                <w:rPr>
                                  <w:rFonts w:hint="eastAsia" w:ascii="仿宋_GB2312"/>
                                  <w:sz w:val="28"/>
                                  <w:szCs w:val="28"/>
                                </w:rPr>
                                <w:t>—</w:t>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79085806"/>
                    </w:sdtPr>
                    <w:sdtEndPr>
                      <w:rPr>
                        <w:rFonts w:hint="eastAsia" w:ascii="仿宋_GB2312"/>
                        <w:sz w:val="28"/>
                        <w:szCs w:val="28"/>
                      </w:rPr>
                    </w:sdtEndPr>
                    <w:sdtContent>
                      <w:p>
                        <w:pPr>
                          <w:pStyle w:val="8"/>
                          <w:jc w:val="right"/>
                          <w:rPr>
                            <w:rFonts w:hint="eastAsia" w:ascii="仿宋_GB2312"/>
                            <w:sz w:val="28"/>
                            <w:szCs w:val="28"/>
                          </w:rPr>
                        </w:pPr>
                        <w:r>
                          <w:rPr>
                            <w:rFonts w:hint="eastAsia" w:ascii="仿宋_GB2312"/>
                            <w:sz w:val="28"/>
                            <w:szCs w:val="28"/>
                          </w:rPr>
                          <w:t xml:space="preserve">— </w:t>
                        </w: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hint="eastAsia" w:ascii="仿宋_GB2312"/>
                            <w:sz w:val="28"/>
                            <w:szCs w:val="28"/>
                            <w:lang w:val="zh-CN"/>
                          </w:rPr>
                          <w:t>2</w:t>
                        </w:r>
                        <w:r>
                          <w:rPr>
                            <w:rFonts w:hint="eastAsia" w:ascii="仿宋_GB2312"/>
                            <w:sz w:val="28"/>
                            <w:szCs w:val="28"/>
                          </w:rPr>
                          <w:fldChar w:fldCharType="end"/>
                        </w:r>
                        <w:r>
                          <w:rPr>
                            <w:rFonts w:ascii="仿宋_GB2312"/>
                            <w:sz w:val="28"/>
                            <w:szCs w:val="28"/>
                          </w:rPr>
                          <w:t xml:space="preserve"> </w:t>
                        </w:r>
                        <w:r>
                          <w:rPr>
                            <w:rFonts w:hint="eastAsia" w:ascii="仿宋_GB2312"/>
                            <w:sz w:val="28"/>
                            <w:szCs w:val="28"/>
                          </w:rPr>
                          <w:t>—</w:t>
                        </w:r>
                      </w:p>
                    </w:sdtContent>
                  </w:sdt>
                  <w:p>
                    <w:pPr>
                      <w:pStyle w:val="2"/>
                    </w:pPr>
                  </w:p>
                </w:txbxContent>
              </v:textbox>
            </v:shape>
          </w:pict>
        </mc:Fallback>
      </mc:AlternateContent>
    </w: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00320397"/>
                          </w:sdtPr>
                          <w:sdtEndPr>
                            <w:rPr>
                              <w:sz w:val="28"/>
                              <w:szCs w:val="28"/>
                            </w:rPr>
                          </w:sdtEndPr>
                          <w:sdtContent>
                            <w:p>
                              <w:pPr>
                                <w:pStyle w:val="8"/>
                                <w:rPr>
                                  <w:sz w:val="28"/>
                                  <w:szCs w:val="28"/>
                                </w:rPr>
                              </w:pPr>
                              <w:r>
                                <w:rPr>
                                  <w:rFonts w:hint="eastAsia" w:ascii="仿宋_GB2312"/>
                                  <w:sz w:val="28"/>
                                  <w:szCs w:val="28"/>
                                </w:rPr>
                                <w:t xml:space="preserve">— </w:t>
                              </w: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hint="eastAsia" w:ascii="仿宋_GB2312"/>
                                  <w:sz w:val="28"/>
                                  <w:szCs w:val="28"/>
                                  <w:lang w:val="zh-CN"/>
                                </w:rPr>
                                <w:t>2</w:t>
                              </w:r>
                              <w:r>
                                <w:rPr>
                                  <w:rFonts w:hint="eastAsia" w:ascii="仿宋_GB2312"/>
                                  <w:sz w:val="28"/>
                                  <w:szCs w:val="28"/>
                                </w:rPr>
                                <w:fldChar w:fldCharType="end"/>
                              </w:r>
                              <w:r>
                                <w:rPr>
                                  <w:rFonts w:ascii="仿宋_GB2312"/>
                                  <w:sz w:val="28"/>
                                  <w:szCs w:val="28"/>
                                </w:rPr>
                                <w:t xml:space="preserve"> </w:t>
                              </w:r>
                              <w:r>
                                <w:rPr>
                                  <w:rFonts w:hint="eastAsia" w:ascii="仿宋_GB2312"/>
                                  <w:sz w:val="28"/>
                                  <w:szCs w:val="28"/>
                                </w:rPr>
                                <w:t>—</w:t>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900320397"/>
                    </w:sdtPr>
                    <w:sdtEndPr>
                      <w:rPr>
                        <w:sz w:val="28"/>
                        <w:szCs w:val="28"/>
                      </w:rPr>
                    </w:sdtEndPr>
                    <w:sdtContent>
                      <w:p>
                        <w:pPr>
                          <w:pStyle w:val="8"/>
                          <w:rPr>
                            <w:sz w:val="28"/>
                            <w:szCs w:val="28"/>
                          </w:rPr>
                        </w:pPr>
                        <w:r>
                          <w:rPr>
                            <w:rFonts w:hint="eastAsia" w:ascii="仿宋_GB2312"/>
                            <w:sz w:val="28"/>
                            <w:szCs w:val="28"/>
                          </w:rPr>
                          <w:t xml:space="preserve">— </w:t>
                        </w: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hint="eastAsia" w:ascii="仿宋_GB2312"/>
                            <w:sz w:val="28"/>
                            <w:szCs w:val="28"/>
                            <w:lang w:val="zh-CN"/>
                          </w:rPr>
                          <w:t>2</w:t>
                        </w:r>
                        <w:r>
                          <w:rPr>
                            <w:rFonts w:hint="eastAsia" w:ascii="仿宋_GB2312"/>
                            <w:sz w:val="28"/>
                            <w:szCs w:val="28"/>
                          </w:rPr>
                          <w:fldChar w:fldCharType="end"/>
                        </w:r>
                        <w:r>
                          <w:rPr>
                            <w:rFonts w:ascii="仿宋_GB2312"/>
                            <w:sz w:val="28"/>
                            <w:szCs w:val="28"/>
                          </w:rPr>
                          <w:t xml:space="preserve"> </w:t>
                        </w:r>
                        <w:r>
                          <w:rPr>
                            <w:rFonts w:hint="eastAsia" w:ascii="仿宋_GB2312"/>
                            <w:sz w:val="28"/>
                            <w:szCs w:val="28"/>
                          </w:rPr>
                          <w:t>—</w:t>
                        </w:r>
                      </w:p>
                    </w:sdtContent>
                  </w:sdt>
                  <w:p>
                    <w:pPr>
                      <w:pStyle w:val="2"/>
                    </w:pPr>
                  </w:p>
                </w:txbxContent>
              </v:textbox>
            </v:shape>
          </w:pict>
        </mc:Fallback>
      </mc:AlternateContent>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3MjdiMWE2ZjJiZGViMjQwNTJmMjVmNGQ5MmY4MDUifQ=="/>
  </w:docVars>
  <w:rsids>
    <w:rsidRoot w:val="00545B32"/>
    <w:rsid w:val="00001113"/>
    <w:rsid w:val="00037455"/>
    <w:rsid w:val="000A5CFA"/>
    <w:rsid w:val="000B3885"/>
    <w:rsid w:val="000B7EF5"/>
    <w:rsid w:val="000C7077"/>
    <w:rsid w:val="000E0CE9"/>
    <w:rsid w:val="000F4A9E"/>
    <w:rsid w:val="0014301C"/>
    <w:rsid w:val="00147EC4"/>
    <w:rsid w:val="00151933"/>
    <w:rsid w:val="0018652F"/>
    <w:rsid w:val="0020538E"/>
    <w:rsid w:val="00223D38"/>
    <w:rsid w:val="00254D60"/>
    <w:rsid w:val="00272EC5"/>
    <w:rsid w:val="002A178E"/>
    <w:rsid w:val="002E0E6E"/>
    <w:rsid w:val="002E1B5A"/>
    <w:rsid w:val="002E1BBB"/>
    <w:rsid w:val="002F14FB"/>
    <w:rsid w:val="00310F10"/>
    <w:rsid w:val="00322698"/>
    <w:rsid w:val="003762BF"/>
    <w:rsid w:val="00376BFE"/>
    <w:rsid w:val="00384F9F"/>
    <w:rsid w:val="00387507"/>
    <w:rsid w:val="003A4CBB"/>
    <w:rsid w:val="003A658C"/>
    <w:rsid w:val="003C094E"/>
    <w:rsid w:val="003E29D1"/>
    <w:rsid w:val="003F3026"/>
    <w:rsid w:val="004022A8"/>
    <w:rsid w:val="0041370C"/>
    <w:rsid w:val="0042080D"/>
    <w:rsid w:val="004544C1"/>
    <w:rsid w:val="00455B54"/>
    <w:rsid w:val="00483BE4"/>
    <w:rsid w:val="00492CAF"/>
    <w:rsid w:val="0049612A"/>
    <w:rsid w:val="004B5B0D"/>
    <w:rsid w:val="004D23D2"/>
    <w:rsid w:val="004D4658"/>
    <w:rsid w:val="004D6981"/>
    <w:rsid w:val="004E474F"/>
    <w:rsid w:val="004E481D"/>
    <w:rsid w:val="004F4FA9"/>
    <w:rsid w:val="005234B8"/>
    <w:rsid w:val="00537A79"/>
    <w:rsid w:val="00545B32"/>
    <w:rsid w:val="00577E65"/>
    <w:rsid w:val="00581AB9"/>
    <w:rsid w:val="005E02C5"/>
    <w:rsid w:val="00604473"/>
    <w:rsid w:val="00606804"/>
    <w:rsid w:val="00616CD2"/>
    <w:rsid w:val="00620E45"/>
    <w:rsid w:val="006425F0"/>
    <w:rsid w:val="00654E73"/>
    <w:rsid w:val="006552B6"/>
    <w:rsid w:val="00694A80"/>
    <w:rsid w:val="006A5053"/>
    <w:rsid w:val="006B26CB"/>
    <w:rsid w:val="006D3DC6"/>
    <w:rsid w:val="006D5549"/>
    <w:rsid w:val="006E7CF1"/>
    <w:rsid w:val="006F3213"/>
    <w:rsid w:val="00702588"/>
    <w:rsid w:val="0070756F"/>
    <w:rsid w:val="0073058B"/>
    <w:rsid w:val="0075077D"/>
    <w:rsid w:val="00752678"/>
    <w:rsid w:val="00754AAA"/>
    <w:rsid w:val="00756F8A"/>
    <w:rsid w:val="00760905"/>
    <w:rsid w:val="00761937"/>
    <w:rsid w:val="00783B79"/>
    <w:rsid w:val="00793B02"/>
    <w:rsid w:val="007A1924"/>
    <w:rsid w:val="007C28CC"/>
    <w:rsid w:val="007C3B7C"/>
    <w:rsid w:val="007C5A9F"/>
    <w:rsid w:val="007D0ED5"/>
    <w:rsid w:val="007F1944"/>
    <w:rsid w:val="007F511D"/>
    <w:rsid w:val="00800305"/>
    <w:rsid w:val="00801B48"/>
    <w:rsid w:val="00806279"/>
    <w:rsid w:val="008127A7"/>
    <w:rsid w:val="008145B6"/>
    <w:rsid w:val="00815EAA"/>
    <w:rsid w:val="00830F38"/>
    <w:rsid w:val="00860E38"/>
    <w:rsid w:val="008629AA"/>
    <w:rsid w:val="00881679"/>
    <w:rsid w:val="0088270C"/>
    <w:rsid w:val="00892D07"/>
    <w:rsid w:val="008D0BA0"/>
    <w:rsid w:val="008D3280"/>
    <w:rsid w:val="008F12F0"/>
    <w:rsid w:val="00916B30"/>
    <w:rsid w:val="0092626A"/>
    <w:rsid w:val="00954177"/>
    <w:rsid w:val="00960DD4"/>
    <w:rsid w:val="00985DE0"/>
    <w:rsid w:val="009C410F"/>
    <w:rsid w:val="009F1487"/>
    <w:rsid w:val="009F2E6D"/>
    <w:rsid w:val="009F301E"/>
    <w:rsid w:val="009F318D"/>
    <w:rsid w:val="00A00CE0"/>
    <w:rsid w:val="00A14D36"/>
    <w:rsid w:val="00A21B3B"/>
    <w:rsid w:val="00A241B4"/>
    <w:rsid w:val="00A250FA"/>
    <w:rsid w:val="00A259BA"/>
    <w:rsid w:val="00A42996"/>
    <w:rsid w:val="00A93CFB"/>
    <w:rsid w:val="00AA29C3"/>
    <w:rsid w:val="00AA34DB"/>
    <w:rsid w:val="00AA6AEF"/>
    <w:rsid w:val="00AB2411"/>
    <w:rsid w:val="00AB67F1"/>
    <w:rsid w:val="00AD4DD5"/>
    <w:rsid w:val="00AF6738"/>
    <w:rsid w:val="00B00BD6"/>
    <w:rsid w:val="00B512B3"/>
    <w:rsid w:val="00B55733"/>
    <w:rsid w:val="00B80589"/>
    <w:rsid w:val="00B87AB7"/>
    <w:rsid w:val="00BA3C2B"/>
    <w:rsid w:val="00BA7251"/>
    <w:rsid w:val="00BB3572"/>
    <w:rsid w:val="00BB4C1E"/>
    <w:rsid w:val="00BF4FF6"/>
    <w:rsid w:val="00C00E8B"/>
    <w:rsid w:val="00C61D97"/>
    <w:rsid w:val="00C817A3"/>
    <w:rsid w:val="00C968DB"/>
    <w:rsid w:val="00CA7723"/>
    <w:rsid w:val="00CC552B"/>
    <w:rsid w:val="00CD7A5A"/>
    <w:rsid w:val="00CE029E"/>
    <w:rsid w:val="00CF5370"/>
    <w:rsid w:val="00D02949"/>
    <w:rsid w:val="00D1189F"/>
    <w:rsid w:val="00D307EF"/>
    <w:rsid w:val="00D362CD"/>
    <w:rsid w:val="00D45958"/>
    <w:rsid w:val="00D4668D"/>
    <w:rsid w:val="00D62E2C"/>
    <w:rsid w:val="00D70643"/>
    <w:rsid w:val="00D95EE4"/>
    <w:rsid w:val="00DB5C27"/>
    <w:rsid w:val="00DC5F1D"/>
    <w:rsid w:val="00DE4C33"/>
    <w:rsid w:val="00E45C6A"/>
    <w:rsid w:val="00E56DC8"/>
    <w:rsid w:val="00E65BBA"/>
    <w:rsid w:val="00E741E7"/>
    <w:rsid w:val="00E77192"/>
    <w:rsid w:val="00E95BCA"/>
    <w:rsid w:val="00EA3769"/>
    <w:rsid w:val="00EB3AD0"/>
    <w:rsid w:val="00ED2DE1"/>
    <w:rsid w:val="00EF17AA"/>
    <w:rsid w:val="00F101CF"/>
    <w:rsid w:val="00F202B4"/>
    <w:rsid w:val="00F211EF"/>
    <w:rsid w:val="00F22B60"/>
    <w:rsid w:val="00F30A24"/>
    <w:rsid w:val="00FB7217"/>
    <w:rsid w:val="00FC6E69"/>
    <w:rsid w:val="00FD1BA4"/>
    <w:rsid w:val="00FD3E23"/>
    <w:rsid w:val="00FE67C6"/>
    <w:rsid w:val="00FF66E5"/>
    <w:rsid w:val="01000874"/>
    <w:rsid w:val="01121891"/>
    <w:rsid w:val="01166424"/>
    <w:rsid w:val="01211AD4"/>
    <w:rsid w:val="01277E1F"/>
    <w:rsid w:val="01346A45"/>
    <w:rsid w:val="015B4635"/>
    <w:rsid w:val="015D59FE"/>
    <w:rsid w:val="0160084E"/>
    <w:rsid w:val="016E2EFC"/>
    <w:rsid w:val="016F0A91"/>
    <w:rsid w:val="017A7A1C"/>
    <w:rsid w:val="01822573"/>
    <w:rsid w:val="01865784"/>
    <w:rsid w:val="01916216"/>
    <w:rsid w:val="019404F8"/>
    <w:rsid w:val="019462D8"/>
    <w:rsid w:val="019B0285"/>
    <w:rsid w:val="019B3634"/>
    <w:rsid w:val="019D022D"/>
    <w:rsid w:val="01B00EB9"/>
    <w:rsid w:val="01B605E6"/>
    <w:rsid w:val="01C01527"/>
    <w:rsid w:val="01C42B8B"/>
    <w:rsid w:val="01CC7EBE"/>
    <w:rsid w:val="01D450D4"/>
    <w:rsid w:val="01E46A56"/>
    <w:rsid w:val="01FD26C6"/>
    <w:rsid w:val="020C4532"/>
    <w:rsid w:val="020D728E"/>
    <w:rsid w:val="020E2058"/>
    <w:rsid w:val="02184C85"/>
    <w:rsid w:val="021A06DD"/>
    <w:rsid w:val="022430B4"/>
    <w:rsid w:val="0246777B"/>
    <w:rsid w:val="02474F99"/>
    <w:rsid w:val="02552EE4"/>
    <w:rsid w:val="02566477"/>
    <w:rsid w:val="025D7143"/>
    <w:rsid w:val="02611F28"/>
    <w:rsid w:val="02666B3D"/>
    <w:rsid w:val="027D71DE"/>
    <w:rsid w:val="027E314A"/>
    <w:rsid w:val="0291499D"/>
    <w:rsid w:val="02931AEB"/>
    <w:rsid w:val="029D68BB"/>
    <w:rsid w:val="02A429BD"/>
    <w:rsid w:val="02A7348D"/>
    <w:rsid w:val="02A92B78"/>
    <w:rsid w:val="02AC3912"/>
    <w:rsid w:val="02AE55E9"/>
    <w:rsid w:val="02BB18F0"/>
    <w:rsid w:val="02BC18C2"/>
    <w:rsid w:val="02CD5452"/>
    <w:rsid w:val="02DE267F"/>
    <w:rsid w:val="02EC2927"/>
    <w:rsid w:val="02EC5BF8"/>
    <w:rsid w:val="02ED2002"/>
    <w:rsid w:val="02F62A48"/>
    <w:rsid w:val="02F63DB9"/>
    <w:rsid w:val="02F95DEA"/>
    <w:rsid w:val="02FB3BCF"/>
    <w:rsid w:val="030549DF"/>
    <w:rsid w:val="03072104"/>
    <w:rsid w:val="03152F6F"/>
    <w:rsid w:val="0315389D"/>
    <w:rsid w:val="03161D82"/>
    <w:rsid w:val="032064E7"/>
    <w:rsid w:val="03326B84"/>
    <w:rsid w:val="033D6E0E"/>
    <w:rsid w:val="0341020B"/>
    <w:rsid w:val="0344050F"/>
    <w:rsid w:val="034D4B53"/>
    <w:rsid w:val="03537040"/>
    <w:rsid w:val="035D6ED3"/>
    <w:rsid w:val="035E581E"/>
    <w:rsid w:val="03622F14"/>
    <w:rsid w:val="036839EA"/>
    <w:rsid w:val="036E3F4D"/>
    <w:rsid w:val="038308C7"/>
    <w:rsid w:val="03836A76"/>
    <w:rsid w:val="0389410F"/>
    <w:rsid w:val="039C62AF"/>
    <w:rsid w:val="039D6C50"/>
    <w:rsid w:val="039E635A"/>
    <w:rsid w:val="03A62CE3"/>
    <w:rsid w:val="03AE76F5"/>
    <w:rsid w:val="03B7329F"/>
    <w:rsid w:val="03D24A6E"/>
    <w:rsid w:val="03D92E8E"/>
    <w:rsid w:val="03E06C1B"/>
    <w:rsid w:val="03E272F9"/>
    <w:rsid w:val="03E75782"/>
    <w:rsid w:val="03EA2C33"/>
    <w:rsid w:val="03EB6276"/>
    <w:rsid w:val="03F05C90"/>
    <w:rsid w:val="03FD26D9"/>
    <w:rsid w:val="04071690"/>
    <w:rsid w:val="041B0A5C"/>
    <w:rsid w:val="041D6CF2"/>
    <w:rsid w:val="04206073"/>
    <w:rsid w:val="04293179"/>
    <w:rsid w:val="04310280"/>
    <w:rsid w:val="04397D13"/>
    <w:rsid w:val="044107C7"/>
    <w:rsid w:val="04511082"/>
    <w:rsid w:val="045E521C"/>
    <w:rsid w:val="046306C3"/>
    <w:rsid w:val="046C750A"/>
    <w:rsid w:val="047D1717"/>
    <w:rsid w:val="048754C8"/>
    <w:rsid w:val="04954AC7"/>
    <w:rsid w:val="04956F3E"/>
    <w:rsid w:val="04A3117E"/>
    <w:rsid w:val="04B2162C"/>
    <w:rsid w:val="04C35BB6"/>
    <w:rsid w:val="04C4437D"/>
    <w:rsid w:val="04D92433"/>
    <w:rsid w:val="04DA4474"/>
    <w:rsid w:val="04DB25AA"/>
    <w:rsid w:val="04E10D91"/>
    <w:rsid w:val="04E15A4E"/>
    <w:rsid w:val="04E452F2"/>
    <w:rsid w:val="04FA2D68"/>
    <w:rsid w:val="05006EDF"/>
    <w:rsid w:val="05050FB1"/>
    <w:rsid w:val="05132E44"/>
    <w:rsid w:val="052C09C3"/>
    <w:rsid w:val="055516E1"/>
    <w:rsid w:val="05791A4E"/>
    <w:rsid w:val="057C6257"/>
    <w:rsid w:val="059C258D"/>
    <w:rsid w:val="05A7543E"/>
    <w:rsid w:val="05B24444"/>
    <w:rsid w:val="05B822E4"/>
    <w:rsid w:val="05C56A68"/>
    <w:rsid w:val="05C61DA3"/>
    <w:rsid w:val="05CF1FD2"/>
    <w:rsid w:val="05D0049A"/>
    <w:rsid w:val="05E03D0C"/>
    <w:rsid w:val="05E05ABA"/>
    <w:rsid w:val="05E355AA"/>
    <w:rsid w:val="05EA2DDC"/>
    <w:rsid w:val="05ED1633"/>
    <w:rsid w:val="05F206D9"/>
    <w:rsid w:val="05F23A3F"/>
    <w:rsid w:val="06007F0A"/>
    <w:rsid w:val="060317A8"/>
    <w:rsid w:val="06057E7B"/>
    <w:rsid w:val="06070706"/>
    <w:rsid w:val="061D6D0E"/>
    <w:rsid w:val="062E278B"/>
    <w:rsid w:val="06421E9F"/>
    <w:rsid w:val="06540256"/>
    <w:rsid w:val="065E21CA"/>
    <w:rsid w:val="066B3406"/>
    <w:rsid w:val="06891E6D"/>
    <w:rsid w:val="069114AA"/>
    <w:rsid w:val="06A25686"/>
    <w:rsid w:val="06B556DB"/>
    <w:rsid w:val="06BE1528"/>
    <w:rsid w:val="06C6403E"/>
    <w:rsid w:val="06C77C46"/>
    <w:rsid w:val="06C93A28"/>
    <w:rsid w:val="06D25D4A"/>
    <w:rsid w:val="06D300A7"/>
    <w:rsid w:val="06D34751"/>
    <w:rsid w:val="06E976A7"/>
    <w:rsid w:val="070251CA"/>
    <w:rsid w:val="070C28DE"/>
    <w:rsid w:val="07124399"/>
    <w:rsid w:val="071F6485"/>
    <w:rsid w:val="073936C0"/>
    <w:rsid w:val="07487DBA"/>
    <w:rsid w:val="07572252"/>
    <w:rsid w:val="075A17A4"/>
    <w:rsid w:val="075B6D39"/>
    <w:rsid w:val="075F53FC"/>
    <w:rsid w:val="07635C14"/>
    <w:rsid w:val="076B1221"/>
    <w:rsid w:val="077B03BE"/>
    <w:rsid w:val="078C0D1B"/>
    <w:rsid w:val="07990875"/>
    <w:rsid w:val="07A04665"/>
    <w:rsid w:val="07AB45BC"/>
    <w:rsid w:val="07AF75BD"/>
    <w:rsid w:val="07B440AB"/>
    <w:rsid w:val="07B731EA"/>
    <w:rsid w:val="07BE4913"/>
    <w:rsid w:val="07C27DD5"/>
    <w:rsid w:val="0805156D"/>
    <w:rsid w:val="08064DBA"/>
    <w:rsid w:val="08071497"/>
    <w:rsid w:val="08091191"/>
    <w:rsid w:val="08091A63"/>
    <w:rsid w:val="080C4C3C"/>
    <w:rsid w:val="08122EED"/>
    <w:rsid w:val="08123FAF"/>
    <w:rsid w:val="081E0FB6"/>
    <w:rsid w:val="082F2D28"/>
    <w:rsid w:val="08367CC1"/>
    <w:rsid w:val="08422300"/>
    <w:rsid w:val="084762C4"/>
    <w:rsid w:val="084A5FDC"/>
    <w:rsid w:val="085F360E"/>
    <w:rsid w:val="086C5357"/>
    <w:rsid w:val="087558B7"/>
    <w:rsid w:val="087A28D8"/>
    <w:rsid w:val="087C398E"/>
    <w:rsid w:val="08907A3C"/>
    <w:rsid w:val="08907C6B"/>
    <w:rsid w:val="08956D4C"/>
    <w:rsid w:val="08BA3A16"/>
    <w:rsid w:val="08BA6A96"/>
    <w:rsid w:val="08BD3FC8"/>
    <w:rsid w:val="08C35554"/>
    <w:rsid w:val="08C517FC"/>
    <w:rsid w:val="08C8765D"/>
    <w:rsid w:val="08CF3F43"/>
    <w:rsid w:val="08D17F7C"/>
    <w:rsid w:val="08DC0095"/>
    <w:rsid w:val="08EC1CB3"/>
    <w:rsid w:val="08EE4992"/>
    <w:rsid w:val="08F6566C"/>
    <w:rsid w:val="08FC6BAC"/>
    <w:rsid w:val="090409D9"/>
    <w:rsid w:val="09071695"/>
    <w:rsid w:val="09116625"/>
    <w:rsid w:val="09151F1E"/>
    <w:rsid w:val="091D6D44"/>
    <w:rsid w:val="09357A62"/>
    <w:rsid w:val="09580DAD"/>
    <w:rsid w:val="095D38E2"/>
    <w:rsid w:val="09630B7A"/>
    <w:rsid w:val="096F401D"/>
    <w:rsid w:val="09815EC8"/>
    <w:rsid w:val="09856B57"/>
    <w:rsid w:val="09B07E99"/>
    <w:rsid w:val="09BC05EC"/>
    <w:rsid w:val="09C661F0"/>
    <w:rsid w:val="09CA0F24"/>
    <w:rsid w:val="09D73678"/>
    <w:rsid w:val="09E37EB0"/>
    <w:rsid w:val="09EC7039"/>
    <w:rsid w:val="0A002B76"/>
    <w:rsid w:val="0A017BE4"/>
    <w:rsid w:val="0A035EDC"/>
    <w:rsid w:val="0A176F60"/>
    <w:rsid w:val="0A1C72DC"/>
    <w:rsid w:val="0A2207B4"/>
    <w:rsid w:val="0A267BB2"/>
    <w:rsid w:val="0A433171"/>
    <w:rsid w:val="0A5A0EF5"/>
    <w:rsid w:val="0A5A18A6"/>
    <w:rsid w:val="0A5A1957"/>
    <w:rsid w:val="0A641E54"/>
    <w:rsid w:val="0A677235"/>
    <w:rsid w:val="0A6F2477"/>
    <w:rsid w:val="0A760DF9"/>
    <w:rsid w:val="0A9320B8"/>
    <w:rsid w:val="0A973119"/>
    <w:rsid w:val="0A9926DB"/>
    <w:rsid w:val="0AAE0AEC"/>
    <w:rsid w:val="0ADA51CD"/>
    <w:rsid w:val="0AE05492"/>
    <w:rsid w:val="0AE97C4A"/>
    <w:rsid w:val="0B0052A5"/>
    <w:rsid w:val="0B0B6EA2"/>
    <w:rsid w:val="0B0D349D"/>
    <w:rsid w:val="0B0F2311"/>
    <w:rsid w:val="0B25100E"/>
    <w:rsid w:val="0B3525BA"/>
    <w:rsid w:val="0B3F3282"/>
    <w:rsid w:val="0B46544F"/>
    <w:rsid w:val="0B5059F2"/>
    <w:rsid w:val="0B602D4D"/>
    <w:rsid w:val="0B686BBB"/>
    <w:rsid w:val="0B6F59B6"/>
    <w:rsid w:val="0B763970"/>
    <w:rsid w:val="0B773AC9"/>
    <w:rsid w:val="0B7B3AE2"/>
    <w:rsid w:val="0B8B1841"/>
    <w:rsid w:val="0B8E7EE9"/>
    <w:rsid w:val="0BA15CEB"/>
    <w:rsid w:val="0BAA072F"/>
    <w:rsid w:val="0BBD7B2C"/>
    <w:rsid w:val="0BC438AF"/>
    <w:rsid w:val="0BE37935"/>
    <w:rsid w:val="0BE853EC"/>
    <w:rsid w:val="0BEB51B8"/>
    <w:rsid w:val="0BF2395B"/>
    <w:rsid w:val="0BF36C4C"/>
    <w:rsid w:val="0BFF2A12"/>
    <w:rsid w:val="0C01678A"/>
    <w:rsid w:val="0C062B01"/>
    <w:rsid w:val="0C292A88"/>
    <w:rsid w:val="0C2B119A"/>
    <w:rsid w:val="0C363BBB"/>
    <w:rsid w:val="0C3A66AE"/>
    <w:rsid w:val="0C450D6C"/>
    <w:rsid w:val="0C5B40EC"/>
    <w:rsid w:val="0C7A3476"/>
    <w:rsid w:val="0C842421"/>
    <w:rsid w:val="0C947820"/>
    <w:rsid w:val="0C9D1D02"/>
    <w:rsid w:val="0CA32EEA"/>
    <w:rsid w:val="0CA35A93"/>
    <w:rsid w:val="0CAB37AE"/>
    <w:rsid w:val="0CAD4DC2"/>
    <w:rsid w:val="0CB46680"/>
    <w:rsid w:val="0CBB1F71"/>
    <w:rsid w:val="0CCE485A"/>
    <w:rsid w:val="0CDB41DD"/>
    <w:rsid w:val="0CE7310B"/>
    <w:rsid w:val="0CF02CDD"/>
    <w:rsid w:val="0CFA211F"/>
    <w:rsid w:val="0D012060"/>
    <w:rsid w:val="0D0D3CDE"/>
    <w:rsid w:val="0D152CF6"/>
    <w:rsid w:val="0D1706A5"/>
    <w:rsid w:val="0D17456A"/>
    <w:rsid w:val="0D1A28DF"/>
    <w:rsid w:val="0D1C51E3"/>
    <w:rsid w:val="0D2B32E0"/>
    <w:rsid w:val="0D3B5CCB"/>
    <w:rsid w:val="0D41769B"/>
    <w:rsid w:val="0D465A55"/>
    <w:rsid w:val="0D54189E"/>
    <w:rsid w:val="0D58062B"/>
    <w:rsid w:val="0D666EBD"/>
    <w:rsid w:val="0D6C40D7"/>
    <w:rsid w:val="0D7A2C98"/>
    <w:rsid w:val="0D8F5F35"/>
    <w:rsid w:val="0D96694A"/>
    <w:rsid w:val="0D980D3B"/>
    <w:rsid w:val="0DAB18C0"/>
    <w:rsid w:val="0DAF6359"/>
    <w:rsid w:val="0DB17FF9"/>
    <w:rsid w:val="0DB3410A"/>
    <w:rsid w:val="0DB53D50"/>
    <w:rsid w:val="0DBC0BBA"/>
    <w:rsid w:val="0DC056BC"/>
    <w:rsid w:val="0DC9777B"/>
    <w:rsid w:val="0DE10B00"/>
    <w:rsid w:val="0DE63E89"/>
    <w:rsid w:val="0DEB55E0"/>
    <w:rsid w:val="0DF027B6"/>
    <w:rsid w:val="0DF44848"/>
    <w:rsid w:val="0DF523D0"/>
    <w:rsid w:val="0DFF65F5"/>
    <w:rsid w:val="0E025247"/>
    <w:rsid w:val="0E0445D0"/>
    <w:rsid w:val="0E1A2A28"/>
    <w:rsid w:val="0E1E1CE1"/>
    <w:rsid w:val="0E2549A1"/>
    <w:rsid w:val="0E26697C"/>
    <w:rsid w:val="0E285407"/>
    <w:rsid w:val="0E2D7025"/>
    <w:rsid w:val="0E337741"/>
    <w:rsid w:val="0E444114"/>
    <w:rsid w:val="0E4D16EC"/>
    <w:rsid w:val="0E525ADF"/>
    <w:rsid w:val="0E536488"/>
    <w:rsid w:val="0E681D5D"/>
    <w:rsid w:val="0E882175"/>
    <w:rsid w:val="0E8D1C79"/>
    <w:rsid w:val="0E960D70"/>
    <w:rsid w:val="0EA24254"/>
    <w:rsid w:val="0EC2319E"/>
    <w:rsid w:val="0EC56195"/>
    <w:rsid w:val="0EC97A84"/>
    <w:rsid w:val="0ECF3B84"/>
    <w:rsid w:val="0ED9579C"/>
    <w:rsid w:val="0EDD0EFA"/>
    <w:rsid w:val="0EE87AAA"/>
    <w:rsid w:val="0EEE0C5B"/>
    <w:rsid w:val="0EF7690F"/>
    <w:rsid w:val="0F043AA6"/>
    <w:rsid w:val="0F0D1285"/>
    <w:rsid w:val="0F312AB7"/>
    <w:rsid w:val="0F3C7DAF"/>
    <w:rsid w:val="0F420E24"/>
    <w:rsid w:val="0F4670CA"/>
    <w:rsid w:val="0F4671CD"/>
    <w:rsid w:val="0F5512C6"/>
    <w:rsid w:val="0F584B92"/>
    <w:rsid w:val="0F5F6E78"/>
    <w:rsid w:val="0F661726"/>
    <w:rsid w:val="0F6A6DD2"/>
    <w:rsid w:val="0F6C03BE"/>
    <w:rsid w:val="0F8670EC"/>
    <w:rsid w:val="0F953DB9"/>
    <w:rsid w:val="0F956327"/>
    <w:rsid w:val="0F9A068E"/>
    <w:rsid w:val="0FA15F22"/>
    <w:rsid w:val="0FA90AF7"/>
    <w:rsid w:val="0FB63A10"/>
    <w:rsid w:val="0FB735D5"/>
    <w:rsid w:val="0FB976B7"/>
    <w:rsid w:val="0FBE25DD"/>
    <w:rsid w:val="0FE14D60"/>
    <w:rsid w:val="0FE97C61"/>
    <w:rsid w:val="0FF21C07"/>
    <w:rsid w:val="0FF3445A"/>
    <w:rsid w:val="0FFB506B"/>
    <w:rsid w:val="10005D5C"/>
    <w:rsid w:val="10095D5E"/>
    <w:rsid w:val="101C335B"/>
    <w:rsid w:val="10263885"/>
    <w:rsid w:val="103053E7"/>
    <w:rsid w:val="104E219F"/>
    <w:rsid w:val="104F6A24"/>
    <w:rsid w:val="10540449"/>
    <w:rsid w:val="1066305F"/>
    <w:rsid w:val="106A3BAB"/>
    <w:rsid w:val="10750A53"/>
    <w:rsid w:val="10853E2D"/>
    <w:rsid w:val="109071AE"/>
    <w:rsid w:val="10991687"/>
    <w:rsid w:val="10A2678D"/>
    <w:rsid w:val="10B55BD2"/>
    <w:rsid w:val="10BF0E0C"/>
    <w:rsid w:val="10C76CC7"/>
    <w:rsid w:val="10CA38AC"/>
    <w:rsid w:val="10CE56DF"/>
    <w:rsid w:val="10D34B99"/>
    <w:rsid w:val="10DF76EB"/>
    <w:rsid w:val="10EC17B7"/>
    <w:rsid w:val="10EC21BF"/>
    <w:rsid w:val="10EE38CD"/>
    <w:rsid w:val="10FE70B5"/>
    <w:rsid w:val="11095AE2"/>
    <w:rsid w:val="11123F5B"/>
    <w:rsid w:val="1118109F"/>
    <w:rsid w:val="11197B53"/>
    <w:rsid w:val="111A7537"/>
    <w:rsid w:val="112447F2"/>
    <w:rsid w:val="11350A1B"/>
    <w:rsid w:val="1135709A"/>
    <w:rsid w:val="113E2B9E"/>
    <w:rsid w:val="11471472"/>
    <w:rsid w:val="11667C5C"/>
    <w:rsid w:val="117847D0"/>
    <w:rsid w:val="11923F5B"/>
    <w:rsid w:val="11924C7B"/>
    <w:rsid w:val="1194268F"/>
    <w:rsid w:val="11967974"/>
    <w:rsid w:val="119B5775"/>
    <w:rsid w:val="119F3AB9"/>
    <w:rsid w:val="11BF2232"/>
    <w:rsid w:val="11C664AC"/>
    <w:rsid w:val="11C81293"/>
    <w:rsid w:val="11D94666"/>
    <w:rsid w:val="11DA1F57"/>
    <w:rsid w:val="11DD7525"/>
    <w:rsid w:val="11E20B1B"/>
    <w:rsid w:val="11E9112C"/>
    <w:rsid w:val="11E960B5"/>
    <w:rsid w:val="11F12DFD"/>
    <w:rsid w:val="11F171D1"/>
    <w:rsid w:val="12007B07"/>
    <w:rsid w:val="12126BF1"/>
    <w:rsid w:val="12143080"/>
    <w:rsid w:val="121601CB"/>
    <w:rsid w:val="121D3C4E"/>
    <w:rsid w:val="122356AC"/>
    <w:rsid w:val="122A39E8"/>
    <w:rsid w:val="1230703F"/>
    <w:rsid w:val="123519A6"/>
    <w:rsid w:val="124A78F3"/>
    <w:rsid w:val="12505D75"/>
    <w:rsid w:val="125462CC"/>
    <w:rsid w:val="12563740"/>
    <w:rsid w:val="125B515F"/>
    <w:rsid w:val="125D0E86"/>
    <w:rsid w:val="125D2067"/>
    <w:rsid w:val="126453DB"/>
    <w:rsid w:val="126F4BD2"/>
    <w:rsid w:val="12771554"/>
    <w:rsid w:val="12865C3B"/>
    <w:rsid w:val="129A3460"/>
    <w:rsid w:val="12A460C1"/>
    <w:rsid w:val="12B52459"/>
    <w:rsid w:val="12B565C6"/>
    <w:rsid w:val="12B952A8"/>
    <w:rsid w:val="12C64289"/>
    <w:rsid w:val="12D93FBD"/>
    <w:rsid w:val="12E66CFD"/>
    <w:rsid w:val="12EC2D08"/>
    <w:rsid w:val="12F620EB"/>
    <w:rsid w:val="13014057"/>
    <w:rsid w:val="130715E6"/>
    <w:rsid w:val="130C63AF"/>
    <w:rsid w:val="130E4C12"/>
    <w:rsid w:val="1314565B"/>
    <w:rsid w:val="13180F89"/>
    <w:rsid w:val="133C43CF"/>
    <w:rsid w:val="13404631"/>
    <w:rsid w:val="13405DEA"/>
    <w:rsid w:val="13414540"/>
    <w:rsid w:val="135547B0"/>
    <w:rsid w:val="136262E7"/>
    <w:rsid w:val="136323A8"/>
    <w:rsid w:val="13776924"/>
    <w:rsid w:val="13813926"/>
    <w:rsid w:val="13842EBF"/>
    <w:rsid w:val="139A16DC"/>
    <w:rsid w:val="139D37F3"/>
    <w:rsid w:val="13B9043F"/>
    <w:rsid w:val="13C133CE"/>
    <w:rsid w:val="13C50F53"/>
    <w:rsid w:val="13C631E2"/>
    <w:rsid w:val="13CD46B1"/>
    <w:rsid w:val="13CF3913"/>
    <w:rsid w:val="13D313F8"/>
    <w:rsid w:val="13DF5603"/>
    <w:rsid w:val="13E354A9"/>
    <w:rsid w:val="13E9022F"/>
    <w:rsid w:val="13EC5CD8"/>
    <w:rsid w:val="141112E6"/>
    <w:rsid w:val="14172596"/>
    <w:rsid w:val="141B6D9E"/>
    <w:rsid w:val="142A67B4"/>
    <w:rsid w:val="142C44F0"/>
    <w:rsid w:val="14302626"/>
    <w:rsid w:val="143C6364"/>
    <w:rsid w:val="14424E6B"/>
    <w:rsid w:val="14434DCA"/>
    <w:rsid w:val="144A37AD"/>
    <w:rsid w:val="1455791F"/>
    <w:rsid w:val="147C7AB5"/>
    <w:rsid w:val="147E6D8B"/>
    <w:rsid w:val="148458D3"/>
    <w:rsid w:val="148C0B02"/>
    <w:rsid w:val="14A56CF8"/>
    <w:rsid w:val="14BA7EE0"/>
    <w:rsid w:val="14D82CC8"/>
    <w:rsid w:val="14E86337"/>
    <w:rsid w:val="14EA6607"/>
    <w:rsid w:val="14ED0E2A"/>
    <w:rsid w:val="14F22953"/>
    <w:rsid w:val="14FA21B0"/>
    <w:rsid w:val="14FE5449"/>
    <w:rsid w:val="15110AEC"/>
    <w:rsid w:val="1517025F"/>
    <w:rsid w:val="15197F2B"/>
    <w:rsid w:val="151A2D78"/>
    <w:rsid w:val="151B4D60"/>
    <w:rsid w:val="15232C77"/>
    <w:rsid w:val="1529151F"/>
    <w:rsid w:val="152B1EBE"/>
    <w:rsid w:val="152C7873"/>
    <w:rsid w:val="153149F1"/>
    <w:rsid w:val="15315072"/>
    <w:rsid w:val="153F759E"/>
    <w:rsid w:val="154A11A2"/>
    <w:rsid w:val="155142DE"/>
    <w:rsid w:val="155D1F73"/>
    <w:rsid w:val="156026D3"/>
    <w:rsid w:val="156404B5"/>
    <w:rsid w:val="157B0492"/>
    <w:rsid w:val="158B7F66"/>
    <w:rsid w:val="158D1BF3"/>
    <w:rsid w:val="158F3F03"/>
    <w:rsid w:val="158F7CD8"/>
    <w:rsid w:val="15932B49"/>
    <w:rsid w:val="15957360"/>
    <w:rsid w:val="159D4277"/>
    <w:rsid w:val="15A249BF"/>
    <w:rsid w:val="15A765F4"/>
    <w:rsid w:val="15AD54DA"/>
    <w:rsid w:val="15B91E83"/>
    <w:rsid w:val="15BE49B4"/>
    <w:rsid w:val="15C471A6"/>
    <w:rsid w:val="15CF352D"/>
    <w:rsid w:val="15DA1387"/>
    <w:rsid w:val="15E27125"/>
    <w:rsid w:val="15FD6214"/>
    <w:rsid w:val="15FF47E1"/>
    <w:rsid w:val="16021214"/>
    <w:rsid w:val="1609105D"/>
    <w:rsid w:val="16094541"/>
    <w:rsid w:val="160F2140"/>
    <w:rsid w:val="161A30CA"/>
    <w:rsid w:val="162A66C0"/>
    <w:rsid w:val="162B39C9"/>
    <w:rsid w:val="162E7866"/>
    <w:rsid w:val="163868AA"/>
    <w:rsid w:val="16441D83"/>
    <w:rsid w:val="16461BF9"/>
    <w:rsid w:val="166221AA"/>
    <w:rsid w:val="166A0F42"/>
    <w:rsid w:val="166A49A8"/>
    <w:rsid w:val="1678653A"/>
    <w:rsid w:val="16897527"/>
    <w:rsid w:val="168C441F"/>
    <w:rsid w:val="16923270"/>
    <w:rsid w:val="16A22F52"/>
    <w:rsid w:val="16B97BF9"/>
    <w:rsid w:val="16D90A24"/>
    <w:rsid w:val="16EF50A8"/>
    <w:rsid w:val="16FB1D76"/>
    <w:rsid w:val="16FC0EBA"/>
    <w:rsid w:val="16FE2244"/>
    <w:rsid w:val="17033C81"/>
    <w:rsid w:val="17081314"/>
    <w:rsid w:val="170A637E"/>
    <w:rsid w:val="171E6EFD"/>
    <w:rsid w:val="17336F1E"/>
    <w:rsid w:val="173D6F65"/>
    <w:rsid w:val="17411475"/>
    <w:rsid w:val="1745615B"/>
    <w:rsid w:val="176A5B2B"/>
    <w:rsid w:val="17742E80"/>
    <w:rsid w:val="177A5F10"/>
    <w:rsid w:val="177A6B0C"/>
    <w:rsid w:val="177B1AE6"/>
    <w:rsid w:val="177F0ACF"/>
    <w:rsid w:val="17815DD6"/>
    <w:rsid w:val="17837D38"/>
    <w:rsid w:val="178776E9"/>
    <w:rsid w:val="178A7AC1"/>
    <w:rsid w:val="17A97951"/>
    <w:rsid w:val="17BC3898"/>
    <w:rsid w:val="17BD5C5B"/>
    <w:rsid w:val="17C21165"/>
    <w:rsid w:val="17C26347"/>
    <w:rsid w:val="17CF1E32"/>
    <w:rsid w:val="17D44A11"/>
    <w:rsid w:val="17EE2E8F"/>
    <w:rsid w:val="17FB0FFD"/>
    <w:rsid w:val="1809747D"/>
    <w:rsid w:val="180D430D"/>
    <w:rsid w:val="181A12FF"/>
    <w:rsid w:val="18211C01"/>
    <w:rsid w:val="18232ABF"/>
    <w:rsid w:val="18246888"/>
    <w:rsid w:val="182757CA"/>
    <w:rsid w:val="182D6FD9"/>
    <w:rsid w:val="18304737"/>
    <w:rsid w:val="18332681"/>
    <w:rsid w:val="18342715"/>
    <w:rsid w:val="18426240"/>
    <w:rsid w:val="1844637C"/>
    <w:rsid w:val="1853177E"/>
    <w:rsid w:val="186D79ED"/>
    <w:rsid w:val="186E31CA"/>
    <w:rsid w:val="1871054E"/>
    <w:rsid w:val="188E659E"/>
    <w:rsid w:val="18B15671"/>
    <w:rsid w:val="18BF3C55"/>
    <w:rsid w:val="18C2495C"/>
    <w:rsid w:val="18CB43A7"/>
    <w:rsid w:val="18D413FC"/>
    <w:rsid w:val="18E436BB"/>
    <w:rsid w:val="18F90F15"/>
    <w:rsid w:val="18F96A73"/>
    <w:rsid w:val="190E557B"/>
    <w:rsid w:val="190E73F7"/>
    <w:rsid w:val="19153875"/>
    <w:rsid w:val="191824EE"/>
    <w:rsid w:val="1920065F"/>
    <w:rsid w:val="19236DCA"/>
    <w:rsid w:val="19262ED6"/>
    <w:rsid w:val="19265A82"/>
    <w:rsid w:val="19277601"/>
    <w:rsid w:val="19324427"/>
    <w:rsid w:val="193E1044"/>
    <w:rsid w:val="19401084"/>
    <w:rsid w:val="194752D1"/>
    <w:rsid w:val="19491E59"/>
    <w:rsid w:val="19641220"/>
    <w:rsid w:val="196B2458"/>
    <w:rsid w:val="196D3EC7"/>
    <w:rsid w:val="198B3FD1"/>
    <w:rsid w:val="199A5971"/>
    <w:rsid w:val="199E7D0E"/>
    <w:rsid w:val="19C07C84"/>
    <w:rsid w:val="19CD2747"/>
    <w:rsid w:val="19DB72E6"/>
    <w:rsid w:val="19E74BB9"/>
    <w:rsid w:val="1A01041D"/>
    <w:rsid w:val="1A084D34"/>
    <w:rsid w:val="1A1B69D9"/>
    <w:rsid w:val="1A245E35"/>
    <w:rsid w:val="1A253F8B"/>
    <w:rsid w:val="1A2A749B"/>
    <w:rsid w:val="1A4019F0"/>
    <w:rsid w:val="1A40229B"/>
    <w:rsid w:val="1A502B41"/>
    <w:rsid w:val="1A554CB3"/>
    <w:rsid w:val="1A7F369B"/>
    <w:rsid w:val="1A820FD7"/>
    <w:rsid w:val="1A8567D8"/>
    <w:rsid w:val="1A881D9D"/>
    <w:rsid w:val="1A8962C8"/>
    <w:rsid w:val="1A943933"/>
    <w:rsid w:val="1A9D1D74"/>
    <w:rsid w:val="1AA522CE"/>
    <w:rsid w:val="1AA569F6"/>
    <w:rsid w:val="1ABD2DF2"/>
    <w:rsid w:val="1ADB4830"/>
    <w:rsid w:val="1AE35FDC"/>
    <w:rsid w:val="1AE634AD"/>
    <w:rsid w:val="1AE66DB8"/>
    <w:rsid w:val="1AE9605D"/>
    <w:rsid w:val="1AF00F48"/>
    <w:rsid w:val="1B171B26"/>
    <w:rsid w:val="1B235571"/>
    <w:rsid w:val="1B245FF1"/>
    <w:rsid w:val="1B2F1E3B"/>
    <w:rsid w:val="1B3268EC"/>
    <w:rsid w:val="1B535CE1"/>
    <w:rsid w:val="1B5A1A13"/>
    <w:rsid w:val="1B701236"/>
    <w:rsid w:val="1B746F78"/>
    <w:rsid w:val="1B7C4F81"/>
    <w:rsid w:val="1B9E3FF5"/>
    <w:rsid w:val="1B9F6F8D"/>
    <w:rsid w:val="1BA01B1B"/>
    <w:rsid w:val="1BA9744F"/>
    <w:rsid w:val="1BB23141"/>
    <w:rsid w:val="1BE806B2"/>
    <w:rsid w:val="1C0333A5"/>
    <w:rsid w:val="1C0850F8"/>
    <w:rsid w:val="1C1E6826"/>
    <w:rsid w:val="1C295ECB"/>
    <w:rsid w:val="1C3D531C"/>
    <w:rsid w:val="1C404874"/>
    <w:rsid w:val="1C553BD3"/>
    <w:rsid w:val="1C655492"/>
    <w:rsid w:val="1C7A5BA8"/>
    <w:rsid w:val="1C8410F7"/>
    <w:rsid w:val="1C8E7BC6"/>
    <w:rsid w:val="1C987B51"/>
    <w:rsid w:val="1C9A2A0F"/>
    <w:rsid w:val="1CAA3DFB"/>
    <w:rsid w:val="1CAF34CB"/>
    <w:rsid w:val="1CB04003"/>
    <w:rsid w:val="1CB82E95"/>
    <w:rsid w:val="1CBA6C0D"/>
    <w:rsid w:val="1CC9538F"/>
    <w:rsid w:val="1CD35F20"/>
    <w:rsid w:val="1CDE733E"/>
    <w:rsid w:val="1CE0443D"/>
    <w:rsid w:val="1CEB6696"/>
    <w:rsid w:val="1CEC79F6"/>
    <w:rsid w:val="1CF10C4A"/>
    <w:rsid w:val="1CF87735"/>
    <w:rsid w:val="1D022869"/>
    <w:rsid w:val="1D037CF9"/>
    <w:rsid w:val="1D151E3B"/>
    <w:rsid w:val="1D1E53EE"/>
    <w:rsid w:val="1D29265C"/>
    <w:rsid w:val="1D296092"/>
    <w:rsid w:val="1D2D0263"/>
    <w:rsid w:val="1D367047"/>
    <w:rsid w:val="1D3B045C"/>
    <w:rsid w:val="1D411B61"/>
    <w:rsid w:val="1D4A2C21"/>
    <w:rsid w:val="1D4C1FAE"/>
    <w:rsid w:val="1D5C2161"/>
    <w:rsid w:val="1D645B6D"/>
    <w:rsid w:val="1D672CB4"/>
    <w:rsid w:val="1D6A233A"/>
    <w:rsid w:val="1D6C0388"/>
    <w:rsid w:val="1D74500E"/>
    <w:rsid w:val="1D762F10"/>
    <w:rsid w:val="1D851BF0"/>
    <w:rsid w:val="1D8E6A35"/>
    <w:rsid w:val="1D9F7183"/>
    <w:rsid w:val="1DB63878"/>
    <w:rsid w:val="1DC924E2"/>
    <w:rsid w:val="1DF955F5"/>
    <w:rsid w:val="1DFC21F6"/>
    <w:rsid w:val="1DFC2844"/>
    <w:rsid w:val="1E136360"/>
    <w:rsid w:val="1E1D6739"/>
    <w:rsid w:val="1E3B1FCF"/>
    <w:rsid w:val="1E417387"/>
    <w:rsid w:val="1E576896"/>
    <w:rsid w:val="1E580570"/>
    <w:rsid w:val="1E6E1C13"/>
    <w:rsid w:val="1E822E5E"/>
    <w:rsid w:val="1E840B01"/>
    <w:rsid w:val="1E8718D1"/>
    <w:rsid w:val="1E90712D"/>
    <w:rsid w:val="1E9D2460"/>
    <w:rsid w:val="1ECF4774"/>
    <w:rsid w:val="1ED15256"/>
    <w:rsid w:val="1ED41ADC"/>
    <w:rsid w:val="1EDA17E8"/>
    <w:rsid w:val="1EEE6DD7"/>
    <w:rsid w:val="1EFC297D"/>
    <w:rsid w:val="1F0754A3"/>
    <w:rsid w:val="1F175729"/>
    <w:rsid w:val="1F185E6D"/>
    <w:rsid w:val="1F264A2D"/>
    <w:rsid w:val="1F4179FC"/>
    <w:rsid w:val="1F485595"/>
    <w:rsid w:val="1F496324"/>
    <w:rsid w:val="1F501751"/>
    <w:rsid w:val="1F617E33"/>
    <w:rsid w:val="1F6427ED"/>
    <w:rsid w:val="1F663537"/>
    <w:rsid w:val="1F754248"/>
    <w:rsid w:val="1F8654CC"/>
    <w:rsid w:val="1F8D1B58"/>
    <w:rsid w:val="1F9426BD"/>
    <w:rsid w:val="1F9F033C"/>
    <w:rsid w:val="1FA13487"/>
    <w:rsid w:val="1FA140B4"/>
    <w:rsid w:val="1FA85ED9"/>
    <w:rsid w:val="1FA871F0"/>
    <w:rsid w:val="1FBA5176"/>
    <w:rsid w:val="1FC3402A"/>
    <w:rsid w:val="1FC715D5"/>
    <w:rsid w:val="1FD3678F"/>
    <w:rsid w:val="1FD42B2E"/>
    <w:rsid w:val="1FE81839"/>
    <w:rsid w:val="1FFC5F22"/>
    <w:rsid w:val="1FFC653F"/>
    <w:rsid w:val="20031B14"/>
    <w:rsid w:val="20084410"/>
    <w:rsid w:val="200E04A1"/>
    <w:rsid w:val="200F5D92"/>
    <w:rsid w:val="202D5802"/>
    <w:rsid w:val="203279E1"/>
    <w:rsid w:val="2039253E"/>
    <w:rsid w:val="20472486"/>
    <w:rsid w:val="205B1D1D"/>
    <w:rsid w:val="205E2895"/>
    <w:rsid w:val="205F6728"/>
    <w:rsid w:val="20743577"/>
    <w:rsid w:val="20757214"/>
    <w:rsid w:val="207B4905"/>
    <w:rsid w:val="207E365F"/>
    <w:rsid w:val="20826029"/>
    <w:rsid w:val="20924ED8"/>
    <w:rsid w:val="209A06D6"/>
    <w:rsid w:val="20A121BF"/>
    <w:rsid w:val="20A1788C"/>
    <w:rsid w:val="20A45C89"/>
    <w:rsid w:val="20AA63F0"/>
    <w:rsid w:val="20BD31A0"/>
    <w:rsid w:val="20C62E2D"/>
    <w:rsid w:val="20C922C2"/>
    <w:rsid w:val="20CA5D3E"/>
    <w:rsid w:val="20D00817"/>
    <w:rsid w:val="20D31122"/>
    <w:rsid w:val="20D539DB"/>
    <w:rsid w:val="20D627DC"/>
    <w:rsid w:val="20E91D02"/>
    <w:rsid w:val="20E96E9D"/>
    <w:rsid w:val="20F950AE"/>
    <w:rsid w:val="21307981"/>
    <w:rsid w:val="213351E0"/>
    <w:rsid w:val="213B5E42"/>
    <w:rsid w:val="213C0896"/>
    <w:rsid w:val="214E22ED"/>
    <w:rsid w:val="215772E3"/>
    <w:rsid w:val="216276A5"/>
    <w:rsid w:val="216345D6"/>
    <w:rsid w:val="21634AB1"/>
    <w:rsid w:val="21680888"/>
    <w:rsid w:val="216C24A0"/>
    <w:rsid w:val="21703D3E"/>
    <w:rsid w:val="217B6C7E"/>
    <w:rsid w:val="217E59FC"/>
    <w:rsid w:val="21821CC3"/>
    <w:rsid w:val="219511AF"/>
    <w:rsid w:val="219F6399"/>
    <w:rsid w:val="21A83E1F"/>
    <w:rsid w:val="21B56736"/>
    <w:rsid w:val="21BA42D0"/>
    <w:rsid w:val="21D505A5"/>
    <w:rsid w:val="21D70260"/>
    <w:rsid w:val="21D97E82"/>
    <w:rsid w:val="21E40288"/>
    <w:rsid w:val="21E67CDD"/>
    <w:rsid w:val="21EF1F2E"/>
    <w:rsid w:val="21FC7CC7"/>
    <w:rsid w:val="2221512B"/>
    <w:rsid w:val="2228581B"/>
    <w:rsid w:val="223F2454"/>
    <w:rsid w:val="224440CB"/>
    <w:rsid w:val="225C7048"/>
    <w:rsid w:val="22674D73"/>
    <w:rsid w:val="226A2D71"/>
    <w:rsid w:val="22726AD4"/>
    <w:rsid w:val="22A7543E"/>
    <w:rsid w:val="22AB6D9E"/>
    <w:rsid w:val="22AE0D4E"/>
    <w:rsid w:val="22BC0310"/>
    <w:rsid w:val="22BD2FB3"/>
    <w:rsid w:val="22C52EB2"/>
    <w:rsid w:val="22C73E32"/>
    <w:rsid w:val="22CE2BC3"/>
    <w:rsid w:val="22D41FAD"/>
    <w:rsid w:val="22E378EC"/>
    <w:rsid w:val="22E744D4"/>
    <w:rsid w:val="22F117FE"/>
    <w:rsid w:val="230C3BCC"/>
    <w:rsid w:val="230E17C3"/>
    <w:rsid w:val="2312327F"/>
    <w:rsid w:val="23130E25"/>
    <w:rsid w:val="231828DF"/>
    <w:rsid w:val="23225072"/>
    <w:rsid w:val="232E622C"/>
    <w:rsid w:val="232F786B"/>
    <w:rsid w:val="233C481F"/>
    <w:rsid w:val="23411962"/>
    <w:rsid w:val="23816BBE"/>
    <w:rsid w:val="23822935"/>
    <w:rsid w:val="238241FC"/>
    <w:rsid w:val="23830BEC"/>
    <w:rsid w:val="23961B98"/>
    <w:rsid w:val="23A50ECF"/>
    <w:rsid w:val="23AD0CD3"/>
    <w:rsid w:val="23B14FE2"/>
    <w:rsid w:val="23B5045C"/>
    <w:rsid w:val="23B75028"/>
    <w:rsid w:val="23BA261E"/>
    <w:rsid w:val="23BC6153"/>
    <w:rsid w:val="23CB6EB8"/>
    <w:rsid w:val="23DC6C01"/>
    <w:rsid w:val="23E62FBE"/>
    <w:rsid w:val="23ED2D4F"/>
    <w:rsid w:val="240864B0"/>
    <w:rsid w:val="240D6CD1"/>
    <w:rsid w:val="240F2CD7"/>
    <w:rsid w:val="24134AFF"/>
    <w:rsid w:val="2415200F"/>
    <w:rsid w:val="24171770"/>
    <w:rsid w:val="241B7069"/>
    <w:rsid w:val="241F0E66"/>
    <w:rsid w:val="242E3EA2"/>
    <w:rsid w:val="242F127F"/>
    <w:rsid w:val="242F6132"/>
    <w:rsid w:val="243A6885"/>
    <w:rsid w:val="243F1986"/>
    <w:rsid w:val="244E349E"/>
    <w:rsid w:val="24525DDE"/>
    <w:rsid w:val="246127B3"/>
    <w:rsid w:val="247E1439"/>
    <w:rsid w:val="24894712"/>
    <w:rsid w:val="249661B1"/>
    <w:rsid w:val="24997A50"/>
    <w:rsid w:val="24B01DDD"/>
    <w:rsid w:val="24BA7F7C"/>
    <w:rsid w:val="24D417F6"/>
    <w:rsid w:val="24D960DB"/>
    <w:rsid w:val="24DE098C"/>
    <w:rsid w:val="24E142CB"/>
    <w:rsid w:val="24EC08E0"/>
    <w:rsid w:val="24F5112A"/>
    <w:rsid w:val="24F95DC0"/>
    <w:rsid w:val="25076767"/>
    <w:rsid w:val="2513695A"/>
    <w:rsid w:val="251B66B7"/>
    <w:rsid w:val="252A0580"/>
    <w:rsid w:val="25317C88"/>
    <w:rsid w:val="253F4153"/>
    <w:rsid w:val="25516886"/>
    <w:rsid w:val="25535E50"/>
    <w:rsid w:val="25606BBB"/>
    <w:rsid w:val="2563757E"/>
    <w:rsid w:val="256B4DBF"/>
    <w:rsid w:val="25761B3F"/>
    <w:rsid w:val="25A96B70"/>
    <w:rsid w:val="25B349D3"/>
    <w:rsid w:val="25B60185"/>
    <w:rsid w:val="25EE7927"/>
    <w:rsid w:val="25F4324C"/>
    <w:rsid w:val="26000C2B"/>
    <w:rsid w:val="26003CFA"/>
    <w:rsid w:val="260E57EE"/>
    <w:rsid w:val="261264E0"/>
    <w:rsid w:val="26153106"/>
    <w:rsid w:val="261568A3"/>
    <w:rsid w:val="26163F51"/>
    <w:rsid w:val="261E52E3"/>
    <w:rsid w:val="263537A8"/>
    <w:rsid w:val="263A74A2"/>
    <w:rsid w:val="263B0436"/>
    <w:rsid w:val="263B7A7A"/>
    <w:rsid w:val="263C086C"/>
    <w:rsid w:val="26445B5A"/>
    <w:rsid w:val="266837F7"/>
    <w:rsid w:val="266F29E5"/>
    <w:rsid w:val="26744D23"/>
    <w:rsid w:val="2684229F"/>
    <w:rsid w:val="26844E74"/>
    <w:rsid w:val="26847FEB"/>
    <w:rsid w:val="2685558D"/>
    <w:rsid w:val="26885B47"/>
    <w:rsid w:val="2690168E"/>
    <w:rsid w:val="26A056CC"/>
    <w:rsid w:val="26A27021"/>
    <w:rsid w:val="26B04563"/>
    <w:rsid w:val="26C23FEA"/>
    <w:rsid w:val="26CC19EC"/>
    <w:rsid w:val="26E15011"/>
    <w:rsid w:val="26F15921"/>
    <w:rsid w:val="26FD74B1"/>
    <w:rsid w:val="270176C3"/>
    <w:rsid w:val="2707406D"/>
    <w:rsid w:val="27191B6E"/>
    <w:rsid w:val="27242EF7"/>
    <w:rsid w:val="275B2ECD"/>
    <w:rsid w:val="275F6D2E"/>
    <w:rsid w:val="276A4A1B"/>
    <w:rsid w:val="276A7481"/>
    <w:rsid w:val="278301EA"/>
    <w:rsid w:val="27840543"/>
    <w:rsid w:val="279A0E7D"/>
    <w:rsid w:val="27AB0DA6"/>
    <w:rsid w:val="27B32F47"/>
    <w:rsid w:val="27B4119A"/>
    <w:rsid w:val="27BB2F34"/>
    <w:rsid w:val="27C471A2"/>
    <w:rsid w:val="27CD45A2"/>
    <w:rsid w:val="27DD7B52"/>
    <w:rsid w:val="27F84A8D"/>
    <w:rsid w:val="280224A3"/>
    <w:rsid w:val="28055ADC"/>
    <w:rsid w:val="28081242"/>
    <w:rsid w:val="28085051"/>
    <w:rsid w:val="28092891"/>
    <w:rsid w:val="280B223D"/>
    <w:rsid w:val="28101DD7"/>
    <w:rsid w:val="2818512F"/>
    <w:rsid w:val="281C3F0A"/>
    <w:rsid w:val="283E6AA2"/>
    <w:rsid w:val="284C7177"/>
    <w:rsid w:val="28520641"/>
    <w:rsid w:val="286C1540"/>
    <w:rsid w:val="287A0322"/>
    <w:rsid w:val="2884430A"/>
    <w:rsid w:val="289420CE"/>
    <w:rsid w:val="28A644E9"/>
    <w:rsid w:val="28AB4ADD"/>
    <w:rsid w:val="28AF7842"/>
    <w:rsid w:val="28B210E0"/>
    <w:rsid w:val="28BE5377"/>
    <w:rsid w:val="28CA01D8"/>
    <w:rsid w:val="28CC7870"/>
    <w:rsid w:val="28D25CDC"/>
    <w:rsid w:val="28E12BB2"/>
    <w:rsid w:val="28E64D72"/>
    <w:rsid w:val="28F25980"/>
    <w:rsid w:val="28F549CF"/>
    <w:rsid w:val="29181DA8"/>
    <w:rsid w:val="29211FE0"/>
    <w:rsid w:val="29332221"/>
    <w:rsid w:val="294B5D61"/>
    <w:rsid w:val="294C4C62"/>
    <w:rsid w:val="294D724D"/>
    <w:rsid w:val="294E15CD"/>
    <w:rsid w:val="296A5560"/>
    <w:rsid w:val="297257EB"/>
    <w:rsid w:val="297D75A0"/>
    <w:rsid w:val="298341A6"/>
    <w:rsid w:val="299273AB"/>
    <w:rsid w:val="299923DC"/>
    <w:rsid w:val="299B1B74"/>
    <w:rsid w:val="299F0057"/>
    <w:rsid w:val="29A34629"/>
    <w:rsid w:val="29AD735E"/>
    <w:rsid w:val="29B64C00"/>
    <w:rsid w:val="29D27C02"/>
    <w:rsid w:val="29DF5F05"/>
    <w:rsid w:val="29DF6D2B"/>
    <w:rsid w:val="29E057D9"/>
    <w:rsid w:val="29E848CD"/>
    <w:rsid w:val="29E90B31"/>
    <w:rsid w:val="29EB0D40"/>
    <w:rsid w:val="29FF0355"/>
    <w:rsid w:val="29FF45A0"/>
    <w:rsid w:val="2A023143"/>
    <w:rsid w:val="2A030D41"/>
    <w:rsid w:val="2A03250B"/>
    <w:rsid w:val="2A157B78"/>
    <w:rsid w:val="2A165248"/>
    <w:rsid w:val="2A1B3C24"/>
    <w:rsid w:val="2A24600D"/>
    <w:rsid w:val="2A4A6B02"/>
    <w:rsid w:val="2A4E6BE6"/>
    <w:rsid w:val="2A665D56"/>
    <w:rsid w:val="2A6C56A4"/>
    <w:rsid w:val="2A926811"/>
    <w:rsid w:val="2A964695"/>
    <w:rsid w:val="2A9B409C"/>
    <w:rsid w:val="2AA35184"/>
    <w:rsid w:val="2AA63DE5"/>
    <w:rsid w:val="2AB0164F"/>
    <w:rsid w:val="2AB47879"/>
    <w:rsid w:val="2AC76892"/>
    <w:rsid w:val="2AD7063C"/>
    <w:rsid w:val="2AD7078E"/>
    <w:rsid w:val="2AD93BEA"/>
    <w:rsid w:val="2AE11B75"/>
    <w:rsid w:val="2AE15CAC"/>
    <w:rsid w:val="2AE2070E"/>
    <w:rsid w:val="2AF163C6"/>
    <w:rsid w:val="2AF35A67"/>
    <w:rsid w:val="2AF87DD8"/>
    <w:rsid w:val="2B062060"/>
    <w:rsid w:val="2B121E9A"/>
    <w:rsid w:val="2B185222"/>
    <w:rsid w:val="2B2F4C6A"/>
    <w:rsid w:val="2B305EFF"/>
    <w:rsid w:val="2B3E6C5B"/>
    <w:rsid w:val="2B400C25"/>
    <w:rsid w:val="2B4E5961"/>
    <w:rsid w:val="2B4F567C"/>
    <w:rsid w:val="2B7D7F7E"/>
    <w:rsid w:val="2B830BEE"/>
    <w:rsid w:val="2B895DBE"/>
    <w:rsid w:val="2B8F532C"/>
    <w:rsid w:val="2B906DE0"/>
    <w:rsid w:val="2B986339"/>
    <w:rsid w:val="2B9A63F4"/>
    <w:rsid w:val="2BAC385A"/>
    <w:rsid w:val="2BD63337"/>
    <w:rsid w:val="2BD82C0B"/>
    <w:rsid w:val="2BE11555"/>
    <w:rsid w:val="2BEA550D"/>
    <w:rsid w:val="2BFA7026"/>
    <w:rsid w:val="2BFF7683"/>
    <w:rsid w:val="2C184CC9"/>
    <w:rsid w:val="2C263E87"/>
    <w:rsid w:val="2C337F41"/>
    <w:rsid w:val="2C35005E"/>
    <w:rsid w:val="2C4209CD"/>
    <w:rsid w:val="2C4F48FD"/>
    <w:rsid w:val="2C534A84"/>
    <w:rsid w:val="2C5E0F39"/>
    <w:rsid w:val="2C5E44B7"/>
    <w:rsid w:val="2C5F71B1"/>
    <w:rsid w:val="2C714E0E"/>
    <w:rsid w:val="2C7963E8"/>
    <w:rsid w:val="2C7A6B34"/>
    <w:rsid w:val="2C8114F5"/>
    <w:rsid w:val="2C8738DC"/>
    <w:rsid w:val="2C8E362F"/>
    <w:rsid w:val="2C982AFA"/>
    <w:rsid w:val="2CA22487"/>
    <w:rsid w:val="2CB27613"/>
    <w:rsid w:val="2CB90C8F"/>
    <w:rsid w:val="2CC47634"/>
    <w:rsid w:val="2CD205C2"/>
    <w:rsid w:val="2CD5168A"/>
    <w:rsid w:val="2CD75937"/>
    <w:rsid w:val="2CEA709A"/>
    <w:rsid w:val="2CF342D4"/>
    <w:rsid w:val="2CFA2CED"/>
    <w:rsid w:val="2D001430"/>
    <w:rsid w:val="2D0668E8"/>
    <w:rsid w:val="2D0E3367"/>
    <w:rsid w:val="2D12039F"/>
    <w:rsid w:val="2D145EC5"/>
    <w:rsid w:val="2D18007B"/>
    <w:rsid w:val="2D1F4DC8"/>
    <w:rsid w:val="2D304904"/>
    <w:rsid w:val="2D38504E"/>
    <w:rsid w:val="2D471CE5"/>
    <w:rsid w:val="2D4A1A94"/>
    <w:rsid w:val="2D50000B"/>
    <w:rsid w:val="2D5E4FBE"/>
    <w:rsid w:val="2D7031FA"/>
    <w:rsid w:val="2D766E70"/>
    <w:rsid w:val="2D78191A"/>
    <w:rsid w:val="2D835894"/>
    <w:rsid w:val="2D85710D"/>
    <w:rsid w:val="2D897E6D"/>
    <w:rsid w:val="2D9802B4"/>
    <w:rsid w:val="2D987DF6"/>
    <w:rsid w:val="2D9A0AA6"/>
    <w:rsid w:val="2DA43BAE"/>
    <w:rsid w:val="2DB475DF"/>
    <w:rsid w:val="2DB81A56"/>
    <w:rsid w:val="2DBE68CC"/>
    <w:rsid w:val="2DBF448B"/>
    <w:rsid w:val="2DC11BDB"/>
    <w:rsid w:val="2DD406A7"/>
    <w:rsid w:val="2DDB2D72"/>
    <w:rsid w:val="2DDF2977"/>
    <w:rsid w:val="2DF33D2D"/>
    <w:rsid w:val="2DF80288"/>
    <w:rsid w:val="2DF81343"/>
    <w:rsid w:val="2DFFA945"/>
    <w:rsid w:val="2E00644A"/>
    <w:rsid w:val="2E01027F"/>
    <w:rsid w:val="2E05146C"/>
    <w:rsid w:val="2E1C4B22"/>
    <w:rsid w:val="2E2741BA"/>
    <w:rsid w:val="2E2B6160"/>
    <w:rsid w:val="2E3420E7"/>
    <w:rsid w:val="2E365113"/>
    <w:rsid w:val="2E3879E1"/>
    <w:rsid w:val="2E3A1A0B"/>
    <w:rsid w:val="2E3A58E1"/>
    <w:rsid w:val="2E444588"/>
    <w:rsid w:val="2E4A2A3C"/>
    <w:rsid w:val="2E513149"/>
    <w:rsid w:val="2E5154FD"/>
    <w:rsid w:val="2E690493"/>
    <w:rsid w:val="2E692241"/>
    <w:rsid w:val="2E693FEF"/>
    <w:rsid w:val="2E75050B"/>
    <w:rsid w:val="2E8E35A8"/>
    <w:rsid w:val="2EB15996"/>
    <w:rsid w:val="2EB24329"/>
    <w:rsid w:val="2EB37960"/>
    <w:rsid w:val="2ECB44DA"/>
    <w:rsid w:val="2ECE479A"/>
    <w:rsid w:val="2ED60234"/>
    <w:rsid w:val="2EDC352E"/>
    <w:rsid w:val="2EE73260"/>
    <w:rsid w:val="2EE83825"/>
    <w:rsid w:val="2EEF4B91"/>
    <w:rsid w:val="2EF2202F"/>
    <w:rsid w:val="2F053FC2"/>
    <w:rsid w:val="2F124686"/>
    <w:rsid w:val="2F156C98"/>
    <w:rsid w:val="2F2D6B6B"/>
    <w:rsid w:val="2F2F17B3"/>
    <w:rsid w:val="2F3115CC"/>
    <w:rsid w:val="2F3426DA"/>
    <w:rsid w:val="2F4F31A1"/>
    <w:rsid w:val="2F5E78CC"/>
    <w:rsid w:val="2F679E34"/>
    <w:rsid w:val="2F923903"/>
    <w:rsid w:val="2F953BA2"/>
    <w:rsid w:val="2F9704F5"/>
    <w:rsid w:val="2F9C0128"/>
    <w:rsid w:val="2FAA217C"/>
    <w:rsid w:val="2FB11493"/>
    <w:rsid w:val="2FBA3766"/>
    <w:rsid w:val="2FC156B3"/>
    <w:rsid w:val="2FCE0386"/>
    <w:rsid w:val="2FCF3C2C"/>
    <w:rsid w:val="2FD9964F"/>
    <w:rsid w:val="2FDC582D"/>
    <w:rsid w:val="2FF24FDC"/>
    <w:rsid w:val="2FF25D24"/>
    <w:rsid w:val="2FFF10AF"/>
    <w:rsid w:val="30071D11"/>
    <w:rsid w:val="300922A1"/>
    <w:rsid w:val="300F7240"/>
    <w:rsid w:val="30100390"/>
    <w:rsid w:val="30126165"/>
    <w:rsid w:val="30210308"/>
    <w:rsid w:val="302169BE"/>
    <w:rsid w:val="30246A80"/>
    <w:rsid w:val="30286974"/>
    <w:rsid w:val="30316D8E"/>
    <w:rsid w:val="303D01C3"/>
    <w:rsid w:val="3040652C"/>
    <w:rsid w:val="30443BE6"/>
    <w:rsid w:val="30515682"/>
    <w:rsid w:val="3053210D"/>
    <w:rsid w:val="305B205D"/>
    <w:rsid w:val="30657FCA"/>
    <w:rsid w:val="306C3287"/>
    <w:rsid w:val="307815FB"/>
    <w:rsid w:val="307A24E3"/>
    <w:rsid w:val="307F1779"/>
    <w:rsid w:val="308415B4"/>
    <w:rsid w:val="308418AE"/>
    <w:rsid w:val="30845AD0"/>
    <w:rsid w:val="308E4926"/>
    <w:rsid w:val="309537C1"/>
    <w:rsid w:val="309D61D2"/>
    <w:rsid w:val="30AD6A75"/>
    <w:rsid w:val="30AE39C7"/>
    <w:rsid w:val="30B005FB"/>
    <w:rsid w:val="30BA0C8E"/>
    <w:rsid w:val="30BA481A"/>
    <w:rsid w:val="30C553F9"/>
    <w:rsid w:val="30C73D65"/>
    <w:rsid w:val="30CE15DC"/>
    <w:rsid w:val="30E324D8"/>
    <w:rsid w:val="30EA142D"/>
    <w:rsid w:val="30EF7855"/>
    <w:rsid w:val="30F00DDE"/>
    <w:rsid w:val="30F17974"/>
    <w:rsid w:val="310107CD"/>
    <w:rsid w:val="3107300C"/>
    <w:rsid w:val="311F0D7B"/>
    <w:rsid w:val="31215291"/>
    <w:rsid w:val="312B3BDD"/>
    <w:rsid w:val="31354E84"/>
    <w:rsid w:val="31362EE2"/>
    <w:rsid w:val="313A230E"/>
    <w:rsid w:val="313B33A4"/>
    <w:rsid w:val="314F3DF8"/>
    <w:rsid w:val="315272FB"/>
    <w:rsid w:val="31623A5C"/>
    <w:rsid w:val="316305AE"/>
    <w:rsid w:val="31671F89"/>
    <w:rsid w:val="316C0267"/>
    <w:rsid w:val="31716F92"/>
    <w:rsid w:val="31747964"/>
    <w:rsid w:val="3179279B"/>
    <w:rsid w:val="319E1D2A"/>
    <w:rsid w:val="31A57A34"/>
    <w:rsid w:val="31C74CDD"/>
    <w:rsid w:val="31E60AE8"/>
    <w:rsid w:val="31EE1492"/>
    <w:rsid w:val="31F52043"/>
    <w:rsid w:val="31FB58A6"/>
    <w:rsid w:val="320A4138"/>
    <w:rsid w:val="320A5AE9"/>
    <w:rsid w:val="320A7897"/>
    <w:rsid w:val="321150C9"/>
    <w:rsid w:val="32144BB9"/>
    <w:rsid w:val="321546F3"/>
    <w:rsid w:val="32242FB0"/>
    <w:rsid w:val="32245343"/>
    <w:rsid w:val="32470AEB"/>
    <w:rsid w:val="324B19B3"/>
    <w:rsid w:val="325447C8"/>
    <w:rsid w:val="32555837"/>
    <w:rsid w:val="32676A97"/>
    <w:rsid w:val="32697616"/>
    <w:rsid w:val="327B69E7"/>
    <w:rsid w:val="327D275F"/>
    <w:rsid w:val="327E6024"/>
    <w:rsid w:val="328626B9"/>
    <w:rsid w:val="3287538B"/>
    <w:rsid w:val="328921D9"/>
    <w:rsid w:val="328D70FE"/>
    <w:rsid w:val="328E194F"/>
    <w:rsid w:val="32951856"/>
    <w:rsid w:val="32A45FDC"/>
    <w:rsid w:val="32AC094E"/>
    <w:rsid w:val="32CB3495"/>
    <w:rsid w:val="32D413E5"/>
    <w:rsid w:val="32DB1233"/>
    <w:rsid w:val="32DE2B24"/>
    <w:rsid w:val="32FA7971"/>
    <w:rsid w:val="32FF5BE4"/>
    <w:rsid w:val="330F7979"/>
    <w:rsid w:val="33164C7B"/>
    <w:rsid w:val="331C30AA"/>
    <w:rsid w:val="331F3053"/>
    <w:rsid w:val="332E7F4D"/>
    <w:rsid w:val="332F06AD"/>
    <w:rsid w:val="33391EAF"/>
    <w:rsid w:val="334119DE"/>
    <w:rsid w:val="3341378C"/>
    <w:rsid w:val="334E5EA9"/>
    <w:rsid w:val="33604E27"/>
    <w:rsid w:val="336F014F"/>
    <w:rsid w:val="33756B27"/>
    <w:rsid w:val="33887D31"/>
    <w:rsid w:val="338B0EAB"/>
    <w:rsid w:val="338F1587"/>
    <w:rsid w:val="33936148"/>
    <w:rsid w:val="33955DE2"/>
    <w:rsid w:val="33BC6FCB"/>
    <w:rsid w:val="33C741C8"/>
    <w:rsid w:val="33CF51E7"/>
    <w:rsid w:val="33D844B2"/>
    <w:rsid w:val="33E660E2"/>
    <w:rsid w:val="33EF1EC6"/>
    <w:rsid w:val="341837B7"/>
    <w:rsid w:val="341964B7"/>
    <w:rsid w:val="341D5FA7"/>
    <w:rsid w:val="3421711A"/>
    <w:rsid w:val="34297AD3"/>
    <w:rsid w:val="3435360F"/>
    <w:rsid w:val="34395609"/>
    <w:rsid w:val="3444546C"/>
    <w:rsid w:val="345033AD"/>
    <w:rsid w:val="345610CE"/>
    <w:rsid w:val="345A1F52"/>
    <w:rsid w:val="346A7429"/>
    <w:rsid w:val="347A3444"/>
    <w:rsid w:val="347F0664"/>
    <w:rsid w:val="34853675"/>
    <w:rsid w:val="3492608D"/>
    <w:rsid w:val="34A53451"/>
    <w:rsid w:val="34AF11BB"/>
    <w:rsid w:val="34C4793B"/>
    <w:rsid w:val="34D720D5"/>
    <w:rsid w:val="34D9259E"/>
    <w:rsid w:val="34E326FC"/>
    <w:rsid w:val="34E75156"/>
    <w:rsid w:val="34EF0FC6"/>
    <w:rsid w:val="34F0546A"/>
    <w:rsid w:val="34F07218"/>
    <w:rsid w:val="34F52217"/>
    <w:rsid w:val="34F52A80"/>
    <w:rsid w:val="350A1334"/>
    <w:rsid w:val="350B5E00"/>
    <w:rsid w:val="35154ED0"/>
    <w:rsid w:val="35353D4F"/>
    <w:rsid w:val="35402FAE"/>
    <w:rsid w:val="355404A0"/>
    <w:rsid w:val="355646E0"/>
    <w:rsid w:val="355B7775"/>
    <w:rsid w:val="355C275F"/>
    <w:rsid w:val="35643762"/>
    <w:rsid w:val="356631AB"/>
    <w:rsid w:val="356677D0"/>
    <w:rsid w:val="356E64B4"/>
    <w:rsid w:val="357D09B8"/>
    <w:rsid w:val="357E2A76"/>
    <w:rsid w:val="357F2293"/>
    <w:rsid w:val="35877674"/>
    <w:rsid w:val="35887450"/>
    <w:rsid w:val="358E0776"/>
    <w:rsid w:val="358E6A31"/>
    <w:rsid w:val="359304E6"/>
    <w:rsid w:val="35946042"/>
    <w:rsid w:val="359637F9"/>
    <w:rsid w:val="359F4AD1"/>
    <w:rsid w:val="35B6666C"/>
    <w:rsid w:val="35BA127A"/>
    <w:rsid w:val="35BD0123"/>
    <w:rsid w:val="35C33D4D"/>
    <w:rsid w:val="35C43B4E"/>
    <w:rsid w:val="35D27A9E"/>
    <w:rsid w:val="35D4547B"/>
    <w:rsid w:val="35D504B2"/>
    <w:rsid w:val="35DB742F"/>
    <w:rsid w:val="35E91715"/>
    <w:rsid w:val="35EB3E83"/>
    <w:rsid w:val="35F929D7"/>
    <w:rsid w:val="35FB3524"/>
    <w:rsid w:val="36103A89"/>
    <w:rsid w:val="36176A26"/>
    <w:rsid w:val="36210E41"/>
    <w:rsid w:val="362A28D8"/>
    <w:rsid w:val="362C24D2"/>
    <w:rsid w:val="362D6159"/>
    <w:rsid w:val="36342144"/>
    <w:rsid w:val="36356EAC"/>
    <w:rsid w:val="363965F8"/>
    <w:rsid w:val="364D41F6"/>
    <w:rsid w:val="36505EDD"/>
    <w:rsid w:val="365C67B4"/>
    <w:rsid w:val="366042CA"/>
    <w:rsid w:val="36632889"/>
    <w:rsid w:val="36664DAA"/>
    <w:rsid w:val="366B4F29"/>
    <w:rsid w:val="366E78DA"/>
    <w:rsid w:val="366F343D"/>
    <w:rsid w:val="36704FA0"/>
    <w:rsid w:val="367D3DB9"/>
    <w:rsid w:val="36841C9D"/>
    <w:rsid w:val="36895934"/>
    <w:rsid w:val="36932551"/>
    <w:rsid w:val="36AB1655"/>
    <w:rsid w:val="36B25798"/>
    <w:rsid w:val="36C421E9"/>
    <w:rsid w:val="36CB6E86"/>
    <w:rsid w:val="36D9329F"/>
    <w:rsid w:val="36DD2433"/>
    <w:rsid w:val="36E2185A"/>
    <w:rsid w:val="36F410BA"/>
    <w:rsid w:val="37060918"/>
    <w:rsid w:val="372066FD"/>
    <w:rsid w:val="3727673C"/>
    <w:rsid w:val="3733688A"/>
    <w:rsid w:val="37385431"/>
    <w:rsid w:val="373B47BD"/>
    <w:rsid w:val="374019EB"/>
    <w:rsid w:val="37441A9D"/>
    <w:rsid w:val="374617A4"/>
    <w:rsid w:val="37495295"/>
    <w:rsid w:val="374E46CA"/>
    <w:rsid w:val="37522992"/>
    <w:rsid w:val="375F7B7D"/>
    <w:rsid w:val="37696240"/>
    <w:rsid w:val="376B702A"/>
    <w:rsid w:val="37753CAD"/>
    <w:rsid w:val="37857C22"/>
    <w:rsid w:val="378C26E1"/>
    <w:rsid w:val="37A81BC3"/>
    <w:rsid w:val="37B55247"/>
    <w:rsid w:val="37B64172"/>
    <w:rsid w:val="37BA4071"/>
    <w:rsid w:val="37BE75F9"/>
    <w:rsid w:val="37CB5D1A"/>
    <w:rsid w:val="37CD3840"/>
    <w:rsid w:val="37D050DF"/>
    <w:rsid w:val="37D270A9"/>
    <w:rsid w:val="37DC3F4E"/>
    <w:rsid w:val="37DF3B2B"/>
    <w:rsid w:val="37E24032"/>
    <w:rsid w:val="37F257C5"/>
    <w:rsid w:val="37F27DEE"/>
    <w:rsid w:val="37FA15CA"/>
    <w:rsid w:val="3807330A"/>
    <w:rsid w:val="38074707"/>
    <w:rsid w:val="3810197F"/>
    <w:rsid w:val="381256F7"/>
    <w:rsid w:val="381513CF"/>
    <w:rsid w:val="38245E32"/>
    <w:rsid w:val="38277040"/>
    <w:rsid w:val="382935D7"/>
    <w:rsid w:val="383E60C2"/>
    <w:rsid w:val="384652DA"/>
    <w:rsid w:val="384B11DD"/>
    <w:rsid w:val="384C15F3"/>
    <w:rsid w:val="384F6751"/>
    <w:rsid w:val="38630159"/>
    <w:rsid w:val="386441BC"/>
    <w:rsid w:val="38743CBC"/>
    <w:rsid w:val="387A06FC"/>
    <w:rsid w:val="387F4DA4"/>
    <w:rsid w:val="3882155B"/>
    <w:rsid w:val="388307D2"/>
    <w:rsid w:val="389554ED"/>
    <w:rsid w:val="389E32F7"/>
    <w:rsid w:val="38A81E35"/>
    <w:rsid w:val="38BB0E8C"/>
    <w:rsid w:val="38CE7A89"/>
    <w:rsid w:val="38D62BC9"/>
    <w:rsid w:val="38E048C0"/>
    <w:rsid w:val="38F1405E"/>
    <w:rsid w:val="38F82B3F"/>
    <w:rsid w:val="38F909B4"/>
    <w:rsid w:val="38FB51C5"/>
    <w:rsid w:val="390A6409"/>
    <w:rsid w:val="391345CA"/>
    <w:rsid w:val="39184765"/>
    <w:rsid w:val="392531C1"/>
    <w:rsid w:val="39350496"/>
    <w:rsid w:val="39387D98"/>
    <w:rsid w:val="394D7D83"/>
    <w:rsid w:val="394E29A9"/>
    <w:rsid w:val="39554E25"/>
    <w:rsid w:val="39610843"/>
    <w:rsid w:val="396B55E6"/>
    <w:rsid w:val="39756027"/>
    <w:rsid w:val="397B3A22"/>
    <w:rsid w:val="397D685D"/>
    <w:rsid w:val="398D63D0"/>
    <w:rsid w:val="39902C76"/>
    <w:rsid w:val="399936D0"/>
    <w:rsid w:val="39A93D32"/>
    <w:rsid w:val="39B158D3"/>
    <w:rsid w:val="39B75737"/>
    <w:rsid w:val="39C05F22"/>
    <w:rsid w:val="39C34057"/>
    <w:rsid w:val="39C43B37"/>
    <w:rsid w:val="39CF33B9"/>
    <w:rsid w:val="39CF7037"/>
    <w:rsid w:val="39E17A95"/>
    <w:rsid w:val="39E41315"/>
    <w:rsid w:val="39EF1A51"/>
    <w:rsid w:val="39F73F5A"/>
    <w:rsid w:val="3A0863F5"/>
    <w:rsid w:val="3A0A0C34"/>
    <w:rsid w:val="3A1218FA"/>
    <w:rsid w:val="3A1D6A3F"/>
    <w:rsid w:val="3A243069"/>
    <w:rsid w:val="3A540487"/>
    <w:rsid w:val="3A5A7CAF"/>
    <w:rsid w:val="3A6B10EF"/>
    <w:rsid w:val="3A7668FC"/>
    <w:rsid w:val="3A78393E"/>
    <w:rsid w:val="3A7B0E05"/>
    <w:rsid w:val="3A8328DC"/>
    <w:rsid w:val="3A92DF72"/>
    <w:rsid w:val="3A9512E0"/>
    <w:rsid w:val="3A970136"/>
    <w:rsid w:val="3AA46CD1"/>
    <w:rsid w:val="3AC36EFA"/>
    <w:rsid w:val="3AC61354"/>
    <w:rsid w:val="3AE305A4"/>
    <w:rsid w:val="3AE7035F"/>
    <w:rsid w:val="3AF136CA"/>
    <w:rsid w:val="3AF66F42"/>
    <w:rsid w:val="3AF95FC8"/>
    <w:rsid w:val="3AFE20ED"/>
    <w:rsid w:val="3B0325CD"/>
    <w:rsid w:val="3B0660B1"/>
    <w:rsid w:val="3B0672D5"/>
    <w:rsid w:val="3B076A56"/>
    <w:rsid w:val="3B093091"/>
    <w:rsid w:val="3B0F1B0E"/>
    <w:rsid w:val="3B304BCD"/>
    <w:rsid w:val="3B326918"/>
    <w:rsid w:val="3B337E5E"/>
    <w:rsid w:val="3B3B033D"/>
    <w:rsid w:val="3B4B2027"/>
    <w:rsid w:val="3B636C58"/>
    <w:rsid w:val="3B7E1DB5"/>
    <w:rsid w:val="3B7E5FB3"/>
    <w:rsid w:val="3B81662E"/>
    <w:rsid w:val="3B8C4421"/>
    <w:rsid w:val="3BAC0327"/>
    <w:rsid w:val="3BB22C06"/>
    <w:rsid w:val="3BB23479"/>
    <w:rsid w:val="3BC919E7"/>
    <w:rsid w:val="3BCE442B"/>
    <w:rsid w:val="3BD11425"/>
    <w:rsid w:val="3BD31812"/>
    <w:rsid w:val="3BD9707D"/>
    <w:rsid w:val="3BE2277D"/>
    <w:rsid w:val="3BE23632"/>
    <w:rsid w:val="3BE531EF"/>
    <w:rsid w:val="3BF54630"/>
    <w:rsid w:val="3BF64F4D"/>
    <w:rsid w:val="3C026CDA"/>
    <w:rsid w:val="3C076506"/>
    <w:rsid w:val="3C0D677A"/>
    <w:rsid w:val="3C0E61B4"/>
    <w:rsid w:val="3C0F1DAD"/>
    <w:rsid w:val="3C15620B"/>
    <w:rsid w:val="3C222894"/>
    <w:rsid w:val="3C4C4F61"/>
    <w:rsid w:val="3C51110B"/>
    <w:rsid w:val="3C552056"/>
    <w:rsid w:val="3C5A5BA6"/>
    <w:rsid w:val="3C600902"/>
    <w:rsid w:val="3C6355C6"/>
    <w:rsid w:val="3C6D4AF5"/>
    <w:rsid w:val="3C760E8E"/>
    <w:rsid w:val="3C851E2D"/>
    <w:rsid w:val="3C8B4885"/>
    <w:rsid w:val="3C9112AA"/>
    <w:rsid w:val="3C983CE2"/>
    <w:rsid w:val="3C9C1A33"/>
    <w:rsid w:val="3C9F1D8B"/>
    <w:rsid w:val="3CA400C4"/>
    <w:rsid w:val="3CAF5FCA"/>
    <w:rsid w:val="3CB31058"/>
    <w:rsid w:val="3CBA4554"/>
    <w:rsid w:val="3CBC2A5D"/>
    <w:rsid w:val="3CC62971"/>
    <w:rsid w:val="3CC857A8"/>
    <w:rsid w:val="3CCA261A"/>
    <w:rsid w:val="3CE12AAC"/>
    <w:rsid w:val="3CE37662"/>
    <w:rsid w:val="3CE9515C"/>
    <w:rsid w:val="3CED3F9A"/>
    <w:rsid w:val="3CFB0E50"/>
    <w:rsid w:val="3D000214"/>
    <w:rsid w:val="3D0714CA"/>
    <w:rsid w:val="3D0E2985"/>
    <w:rsid w:val="3D1B74DC"/>
    <w:rsid w:val="3D301EA5"/>
    <w:rsid w:val="3D306260"/>
    <w:rsid w:val="3D33159D"/>
    <w:rsid w:val="3D350DE6"/>
    <w:rsid w:val="3D396654"/>
    <w:rsid w:val="3D6B3DC3"/>
    <w:rsid w:val="3D8A73BA"/>
    <w:rsid w:val="3D9B618F"/>
    <w:rsid w:val="3D9E620D"/>
    <w:rsid w:val="3DA257D2"/>
    <w:rsid w:val="3DAA0180"/>
    <w:rsid w:val="3DB72FC9"/>
    <w:rsid w:val="3DB83EFC"/>
    <w:rsid w:val="3DC6765B"/>
    <w:rsid w:val="3DCE3E6E"/>
    <w:rsid w:val="3DDF477C"/>
    <w:rsid w:val="3DF2DB4B"/>
    <w:rsid w:val="3DF87B4C"/>
    <w:rsid w:val="3E045AE2"/>
    <w:rsid w:val="3E0621CD"/>
    <w:rsid w:val="3E09134A"/>
    <w:rsid w:val="3E106DF7"/>
    <w:rsid w:val="3E144EC4"/>
    <w:rsid w:val="3E18158D"/>
    <w:rsid w:val="3E1F3ED3"/>
    <w:rsid w:val="3E3315F3"/>
    <w:rsid w:val="3E360B4B"/>
    <w:rsid w:val="3E410AE4"/>
    <w:rsid w:val="3E4B1963"/>
    <w:rsid w:val="3E5750C4"/>
    <w:rsid w:val="3E5D1698"/>
    <w:rsid w:val="3E5F6102"/>
    <w:rsid w:val="3E693B97"/>
    <w:rsid w:val="3E6978F9"/>
    <w:rsid w:val="3E833AAE"/>
    <w:rsid w:val="3E8C5BBA"/>
    <w:rsid w:val="3E9226BF"/>
    <w:rsid w:val="3EA56683"/>
    <w:rsid w:val="3EB80859"/>
    <w:rsid w:val="3EBC016B"/>
    <w:rsid w:val="3ED01E68"/>
    <w:rsid w:val="3ED9579B"/>
    <w:rsid w:val="3EE5695F"/>
    <w:rsid w:val="3EE938B6"/>
    <w:rsid w:val="3EEE1F3C"/>
    <w:rsid w:val="3EFD28DA"/>
    <w:rsid w:val="3EFE8999"/>
    <w:rsid w:val="3F02542B"/>
    <w:rsid w:val="3F0D4E6A"/>
    <w:rsid w:val="3F203985"/>
    <w:rsid w:val="3F304187"/>
    <w:rsid w:val="3F3754B7"/>
    <w:rsid w:val="3F383F7B"/>
    <w:rsid w:val="3F49DF26"/>
    <w:rsid w:val="3F633357"/>
    <w:rsid w:val="3F80563C"/>
    <w:rsid w:val="3F874006"/>
    <w:rsid w:val="3F8B0EF8"/>
    <w:rsid w:val="3FA26546"/>
    <w:rsid w:val="3FAD8C44"/>
    <w:rsid w:val="3FAF3FEF"/>
    <w:rsid w:val="3FBD2240"/>
    <w:rsid w:val="3FC11673"/>
    <w:rsid w:val="3FD21E14"/>
    <w:rsid w:val="3FDE07C5"/>
    <w:rsid w:val="3FE318E2"/>
    <w:rsid w:val="3FE57B1E"/>
    <w:rsid w:val="3FF62908"/>
    <w:rsid w:val="3FF79AB4"/>
    <w:rsid w:val="40153057"/>
    <w:rsid w:val="401F09B1"/>
    <w:rsid w:val="40284903"/>
    <w:rsid w:val="403D6B94"/>
    <w:rsid w:val="404313C6"/>
    <w:rsid w:val="405D597D"/>
    <w:rsid w:val="406114CC"/>
    <w:rsid w:val="409D24C0"/>
    <w:rsid w:val="40A54C1A"/>
    <w:rsid w:val="40CB56E0"/>
    <w:rsid w:val="40CD3BD6"/>
    <w:rsid w:val="40D804AB"/>
    <w:rsid w:val="40DA3AFD"/>
    <w:rsid w:val="40E1796E"/>
    <w:rsid w:val="40E83499"/>
    <w:rsid w:val="40F91BAA"/>
    <w:rsid w:val="41011231"/>
    <w:rsid w:val="41026F44"/>
    <w:rsid w:val="41056113"/>
    <w:rsid w:val="410F6C78"/>
    <w:rsid w:val="4124508D"/>
    <w:rsid w:val="413F5301"/>
    <w:rsid w:val="41587796"/>
    <w:rsid w:val="415D5A0A"/>
    <w:rsid w:val="41636FC4"/>
    <w:rsid w:val="41702706"/>
    <w:rsid w:val="417252AC"/>
    <w:rsid w:val="417472B4"/>
    <w:rsid w:val="41790595"/>
    <w:rsid w:val="418A4550"/>
    <w:rsid w:val="418A6BCD"/>
    <w:rsid w:val="418E16AC"/>
    <w:rsid w:val="419A55AA"/>
    <w:rsid w:val="41B31CF9"/>
    <w:rsid w:val="41BD1DD3"/>
    <w:rsid w:val="41D977B9"/>
    <w:rsid w:val="41F540C0"/>
    <w:rsid w:val="41FA4919"/>
    <w:rsid w:val="41FB544E"/>
    <w:rsid w:val="41FC33B4"/>
    <w:rsid w:val="41FE08D6"/>
    <w:rsid w:val="420C12BF"/>
    <w:rsid w:val="421503F7"/>
    <w:rsid w:val="42154762"/>
    <w:rsid w:val="42166091"/>
    <w:rsid w:val="421F61AF"/>
    <w:rsid w:val="42276258"/>
    <w:rsid w:val="42295FE8"/>
    <w:rsid w:val="423B0A86"/>
    <w:rsid w:val="423C4DDB"/>
    <w:rsid w:val="424A0877"/>
    <w:rsid w:val="42513CEB"/>
    <w:rsid w:val="425642AB"/>
    <w:rsid w:val="426B0B13"/>
    <w:rsid w:val="42763F02"/>
    <w:rsid w:val="427A2817"/>
    <w:rsid w:val="4280614C"/>
    <w:rsid w:val="42BF647C"/>
    <w:rsid w:val="42CE53D3"/>
    <w:rsid w:val="42E63A08"/>
    <w:rsid w:val="42EB37C3"/>
    <w:rsid w:val="42FA663B"/>
    <w:rsid w:val="42FC6AEE"/>
    <w:rsid w:val="43095743"/>
    <w:rsid w:val="431E324B"/>
    <w:rsid w:val="431F37EA"/>
    <w:rsid w:val="43217C5D"/>
    <w:rsid w:val="432F1F96"/>
    <w:rsid w:val="434236A5"/>
    <w:rsid w:val="434264A2"/>
    <w:rsid w:val="43457648"/>
    <w:rsid w:val="4348021F"/>
    <w:rsid w:val="434D7F2B"/>
    <w:rsid w:val="4374071E"/>
    <w:rsid w:val="43740E02"/>
    <w:rsid w:val="4377665A"/>
    <w:rsid w:val="43A07023"/>
    <w:rsid w:val="43C7531C"/>
    <w:rsid w:val="43D45F57"/>
    <w:rsid w:val="43E43292"/>
    <w:rsid w:val="43EA7528"/>
    <w:rsid w:val="43EC32A0"/>
    <w:rsid w:val="44017D92"/>
    <w:rsid w:val="4407632C"/>
    <w:rsid w:val="44133CFC"/>
    <w:rsid w:val="44175B2F"/>
    <w:rsid w:val="444242BC"/>
    <w:rsid w:val="444416CA"/>
    <w:rsid w:val="44451875"/>
    <w:rsid w:val="4448159C"/>
    <w:rsid w:val="444A1E6A"/>
    <w:rsid w:val="44775260"/>
    <w:rsid w:val="44796DFB"/>
    <w:rsid w:val="44812720"/>
    <w:rsid w:val="44850357"/>
    <w:rsid w:val="44854738"/>
    <w:rsid w:val="44946F99"/>
    <w:rsid w:val="449F6E10"/>
    <w:rsid w:val="44A667A7"/>
    <w:rsid w:val="44B7553B"/>
    <w:rsid w:val="44C02215"/>
    <w:rsid w:val="44DF5D96"/>
    <w:rsid w:val="44F20D8A"/>
    <w:rsid w:val="44F468B0"/>
    <w:rsid w:val="44F7222D"/>
    <w:rsid w:val="44FD3962"/>
    <w:rsid w:val="451231DA"/>
    <w:rsid w:val="451867E7"/>
    <w:rsid w:val="45207390"/>
    <w:rsid w:val="45350C77"/>
    <w:rsid w:val="45376BFD"/>
    <w:rsid w:val="455922E2"/>
    <w:rsid w:val="45651633"/>
    <w:rsid w:val="456C7773"/>
    <w:rsid w:val="457A37FF"/>
    <w:rsid w:val="458F47E7"/>
    <w:rsid w:val="459F66C2"/>
    <w:rsid w:val="45CE5D80"/>
    <w:rsid w:val="45ED4D37"/>
    <w:rsid w:val="45F91CA4"/>
    <w:rsid w:val="45FF375F"/>
    <w:rsid w:val="46055511"/>
    <w:rsid w:val="46084CE9"/>
    <w:rsid w:val="46092859"/>
    <w:rsid w:val="461E795D"/>
    <w:rsid w:val="46205E85"/>
    <w:rsid w:val="46224C70"/>
    <w:rsid w:val="46243E30"/>
    <w:rsid w:val="46402CCA"/>
    <w:rsid w:val="46487256"/>
    <w:rsid w:val="466C691A"/>
    <w:rsid w:val="46717E70"/>
    <w:rsid w:val="46746318"/>
    <w:rsid w:val="467542B6"/>
    <w:rsid w:val="467D376F"/>
    <w:rsid w:val="468717C3"/>
    <w:rsid w:val="4688794D"/>
    <w:rsid w:val="468B4FF2"/>
    <w:rsid w:val="469D2F78"/>
    <w:rsid w:val="469E449E"/>
    <w:rsid w:val="46A15CDB"/>
    <w:rsid w:val="46AB16AB"/>
    <w:rsid w:val="46B0401C"/>
    <w:rsid w:val="46C305E6"/>
    <w:rsid w:val="46DA0645"/>
    <w:rsid w:val="46E4533A"/>
    <w:rsid w:val="46FB541D"/>
    <w:rsid w:val="47022898"/>
    <w:rsid w:val="47022DDB"/>
    <w:rsid w:val="47075699"/>
    <w:rsid w:val="470A74E3"/>
    <w:rsid w:val="470B1C8F"/>
    <w:rsid w:val="47183835"/>
    <w:rsid w:val="4734568A"/>
    <w:rsid w:val="47411405"/>
    <w:rsid w:val="47477FDB"/>
    <w:rsid w:val="474B4782"/>
    <w:rsid w:val="47504375"/>
    <w:rsid w:val="47573EB3"/>
    <w:rsid w:val="47622E95"/>
    <w:rsid w:val="476D4AB9"/>
    <w:rsid w:val="476F5C76"/>
    <w:rsid w:val="477172B3"/>
    <w:rsid w:val="47771248"/>
    <w:rsid w:val="47775577"/>
    <w:rsid w:val="477B4524"/>
    <w:rsid w:val="47833F1C"/>
    <w:rsid w:val="47906638"/>
    <w:rsid w:val="47953C4F"/>
    <w:rsid w:val="47B00517"/>
    <w:rsid w:val="47BB36B5"/>
    <w:rsid w:val="47C2039B"/>
    <w:rsid w:val="47CB202D"/>
    <w:rsid w:val="47CD0091"/>
    <w:rsid w:val="47CD6F16"/>
    <w:rsid w:val="47CF34EA"/>
    <w:rsid w:val="47D167EC"/>
    <w:rsid w:val="47E9653F"/>
    <w:rsid w:val="47F46BC7"/>
    <w:rsid w:val="47FC58A4"/>
    <w:rsid w:val="480321E6"/>
    <w:rsid w:val="4803505C"/>
    <w:rsid w:val="48036E0A"/>
    <w:rsid w:val="481A5A95"/>
    <w:rsid w:val="481D724C"/>
    <w:rsid w:val="482C6510"/>
    <w:rsid w:val="484C255F"/>
    <w:rsid w:val="48573151"/>
    <w:rsid w:val="4857632E"/>
    <w:rsid w:val="485C3580"/>
    <w:rsid w:val="48642631"/>
    <w:rsid w:val="486C1ED8"/>
    <w:rsid w:val="487726DA"/>
    <w:rsid w:val="48844044"/>
    <w:rsid w:val="488818D4"/>
    <w:rsid w:val="48894BB5"/>
    <w:rsid w:val="488F3BC4"/>
    <w:rsid w:val="489F232B"/>
    <w:rsid w:val="48AD6BF4"/>
    <w:rsid w:val="48BF71D5"/>
    <w:rsid w:val="48CC7164"/>
    <w:rsid w:val="48CD09DE"/>
    <w:rsid w:val="48CE536C"/>
    <w:rsid w:val="48D14A1C"/>
    <w:rsid w:val="48EC3D42"/>
    <w:rsid w:val="48F21F41"/>
    <w:rsid w:val="48F45C48"/>
    <w:rsid w:val="493C25D4"/>
    <w:rsid w:val="494B2817"/>
    <w:rsid w:val="49520FBA"/>
    <w:rsid w:val="49534C5E"/>
    <w:rsid w:val="4956564D"/>
    <w:rsid w:val="495C1986"/>
    <w:rsid w:val="4968592C"/>
    <w:rsid w:val="497404B5"/>
    <w:rsid w:val="49778F96"/>
    <w:rsid w:val="49821F6E"/>
    <w:rsid w:val="49946FDC"/>
    <w:rsid w:val="499D73BF"/>
    <w:rsid w:val="49A0064F"/>
    <w:rsid w:val="49A27EEF"/>
    <w:rsid w:val="49B43F2D"/>
    <w:rsid w:val="49C12C97"/>
    <w:rsid w:val="49C564C7"/>
    <w:rsid w:val="49C83E68"/>
    <w:rsid w:val="49DF11B1"/>
    <w:rsid w:val="49E0425C"/>
    <w:rsid w:val="49E80AF9"/>
    <w:rsid w:val="49EF701C"/>
    <w:rsid w:val="49F54148"/>
    <w:rsid w:val="49F71B6E"/>
    <w:rsid w:val="4A2A0ABF"/>
    <w:rsid w:val="4A3B0ADD"/>
    <w:rsid w:val="4A4213E1"/>
    <w:rsid w:val="4A483506"/>
    <w:rsid w:val="4A6456F8"/>
    <w:rsid w:val="4A917291"/>
    <w:rsid w:val="4A935A5D"/>
    <w:rsid w:val="4A9A5462"/>
    <w:rsid w:val="4A9B4458"/>
    <w:rsid w:val="4AA743C5"/>
    <w:rsid w:val="4AA778B3"/>
    <w:rsid w:val="4AB10697"/>
    <w:rsid w:val="4ACA0FDE"/>
    <w:rsid w:val="4ACB5597"/>
    <w:rsid w:val="4AD37841"/>
    <w:rsid w:val="4AD7419C"/>
    <w:rsid w:val="4AE368B5"/>
    <w:rsid w:val="4AE70C5C"/>
    <w:rsid w:val="4AEF3676"/>
    <w:rsid w:val="4AF018C8"/>
    <w:rsid w:val="4AFD21AE"/>
    <w:rsid w:val="4B007631"/>
    <w:rsid w:val="4B012F86"/>
    <w:rsid w:val="4B1A06F3"/>
    <w:rsid w:val="4B245A16"/>
    <w:rsid w:val="4B2743D8"/>
    <w:rsid w:val="4B287987"/>
    <w:rsid w:val="4B36407A"/>
    <w:rsid w:val="4B370A48"/>
    <w:rsid w:val="4B3B7D7C"/>
    <w:rsid w:val="4B3F56B0"/>
    <w:rsid w:val="4B5A31E5"/>
    <w:rsid w:val="4B5A5A42"/>
    <w:rsid w:val="4B5B19AA"/>
    <w:rsid w:val="4B645E12"/>
    <w:rsid w:val="4B660AA4"/>
    <w:rsid w:val="4B68381B"/>
    <w:rsid w:val="4B6C1757"/>
    <w:rsid w:val="4B706C91"/>
    <w:rsid w:val="4B7B6FA6"/>
    <w:rsid w:val="4B825F06"/>
    <w:rsid w:val="4B843FBA"/>
    <w:rsid w:val="4B887D52"/>
    <w:rsid w:val="4B897D5F"/>
    <w:rsid w:val="4B8E10E1"/>
    <w:rsid w:val="4B9506C1"/>
    <w:rsid w:val="4B985A2C"/>
    <w:rsid w:val="4BA00375"/>
    <w:rsid w:val="4BA25495"/>
    <w:rsid w:val="4BA3693A"/>
    <w:rsid w:val="4BA74FFC"/>
    <w:rsid w:val="4BA92ECC"/>
    <w:rsid w:val="4BB62E22"/>
    <w:rsid w:val="4BC90A28"/>
    <w:rsid w:val="4BD75D9A"/>
    <w:rsid w:val="4BDA60D4"/>
    <w:rsid w:val="4BE022A9"/>
    <w:rsid w:val="4BFE5C1D"/>
    <w:rsid w:val="4C045B9D"/>
    <w:rsid w:val="4C0956F2"/>
    <w:rsid w:val="4C0B2601"/>
    <w:rsid w:val="4C156106"/>
    <w:rsid w:val="4C1A50DE"/>
    <w:rsid w:val="4C1F7F5E"/>
    <w:rsid w:val="4C286E40"/>
    <w:rsid w:val="4C346232"/>
    <w:rsid w:val="4C44033A"/>
    <w:rsid w:val="4C490257"/>
    <w:rsid w:val="4C5D6DBB"/>
    <w:rsid w:val="4C635307"/>
    <w:rsid w:val="4C6D7242"/>
    <w:rsid w:val="4C722362"/>
    <w:rsid w:val="4C7B6DED"/>
    <w:rsid w:val="4C7E4CB1"/>
    <w:rsid w:val="4C9D2E6F"/>
    <w:rsid w:val="4CA037FA"/>
    <w:rsid w:val="4CA30D7A"/>
    <w:rsid w:val="4CA404E9"/>
    <w:rsid w:val="4CAD4AF6"/>
    <w:rsid w:val="4CAF57B3"/>
    <w:rsid w:val="4CC51B63"/>
    <w:rsid w:val="4CCA55D1"/>
    <w:rsid w:val="4CE64E45"/>
    <w:rsid w:val="4CE91A44"/>
    <w:rsid w:val="4CF80F08"/>
    <w:rsid w:val="4D003D3C"/>
    <w:rsid w:val="4D0273B3"/>
    <w:rsid w:val="4D117941"/>
    <w:rsid w:val="4D13604C"/>
    <w:rsid w:val="4D1878D4"/>
    <w:rsid w:val="4D266356"/>
    <w:rsid w:val="4D3358B9"/>
    <w:rsid w:val="4D3F50AA"/>
    <w:rsid w:val="4D4B2D71"/>
    <w:rsid w:val="4D665E71"/>
    <w:rsid w:val="4D6A4506"/>
    <w:rsid w:val="4D866514"/>
    <w:rsid w:val="4D8C7228"/>
    <w:rsid w:val="4D926C66"/>
    <w:rsid w:val="4D946154"/>
    <w:rsid w:val="4DA84C22"/>
    <w:rsid w:val="4DBD4B5D"/>
    <w:rsid w:val="4DC37313"/>
    <w:rsid w:val="4DD83D86"/>
    <w:rsid w:val="4DE310F8"/>
    <w:rsid w:val="4DEA53BD"/>
    <w:rsid w:val="4E013C63"/>
    <w:rsid w:val="4E021D24"/>
    <w:rsid w:val="4E05260A"/>
    <w:rsid w:val="4E072E1C"/>
    <w:rsid w:val="4E1326E7"/>
    <w:rsid w:val="4E257ADB"/>
    <w:rsid w:val="4E2E5C65"/>
    <w:rsid w:val="4E3D6076"/>
    <w:rsid w:val="4E437F61"/>
    <w:rsid w:val="4E4B32B9"/>
    <w:rsid w:val="4E4C437C"/>
    <w:rsid w:val="4E57640F"/>
    <w:rsid w:val="4E583067"/>
    <w:rsid w:val="4E641EF7"/>
    <w:rsid w:val="4E6B57B3"/>
    <w:rsid w:val="4E832A53"/>
    <w:rsid w:val="4E873F0D"/>
    <w:rsid w:val="4E896CF3"/>
    <w:rsid w:val="4E8A5B90"/>
    <w:rsid w:val="4E901B7F"/>
    <w:rsid w:val="4E932DF9"/>
    <w:rsid w:val="4E9D0692"/>
    <w:rsid w:val="4EA23A90"/>
    <w:rsid w:val="4EA56E23"/>
    <w:rsid w:val="4EAB0005"/>
    <w:rsid w:val="4EC04CCC"/>
    <w:rsid w:val="4ECC7CA4"/>
    <w:rsid w:val="4ED558F1"/>
    <w:rsid w:val="4EDD526B"/>
    <w:rsid w:val="4EF43951"/>
    <w:rsid w:val="4EFE032C"/>
    <w:rsid w:val="4F0157BB"/>
    <w:rsid w:val="4F1246BB"/>
    <w:rsid w:val="4F2238E5"/>
    <w:rsid w:val="4F227E34"/>
    <w:rsid w:val="4F267708"/>
    <w:rsid w:val="4F351751"/>
    <w:rsid w:val="4F3F52C7"/>
    <w:rsid w:val="4F4C750E"/>
    <w:rsid w:val="4F5F0DCA"/>
    <w:rsid w:val="4F6350F3"/>
    <w:rsid w:val="4F696BD7"/>
    <w:rsid w:val="4F6E2D92"/>
    <w:rsid w:val="4F703A39"/>
    <w:rsid w:val="4F7800DE"/>
    <w:rsid w:val="4F7E438F"/>
    <w:rsid w:val="4F870321"/>
    <w:rsid w:val="4F8922EB"/>
    <w:rsid w:val="4F9372D6"/>
    <w:rsid w:val="4F9472EF"/>
    <w:rsid w:val="4FBA06F6"/>
    <w:rsid w:val="4FBB4669"/>
    <w:rsid w:val="4FC11D5D"/>
    <w:rsid w:val="4FC73156"/>
    <w:rsid w:val="4FC92FD2"/>
    <w:rsid w:val="4FCF5486"/>
    <w:rsid w:val="4FD16CC8"/>
    <w:rsid w:val="4FE94B38"/>
    <w:rsid w:val="4FF11270"/>
    <w:rsid w:val="4FF30042"/>
    <w:rsid w:val="5003098E"/>
    <w:rsid w:val="50263B36"/>
    <w:rsid w:val="5032409D"/>
    <w:rsid w:val="5041529F"/>
    <w:rsid w:val="50473DBA"/>
    <w:rsid w:val="50502F81"/>
    <w:rsid w:val="505934D7"/>
    <w:rsid w:val="507A1254"/>
    <w:rsid w:val="507C1E50"/>
    <w:rsid w:val="508C35DD"/>
    <w:rsid w:val="50AB7F55"/>
    <w:rsid w:val="50BE5FC4"/>
    <w:rsid w:val="50CA750F"/>
    <w:rsid w:val="50DD3A48"/>
    <w:rsid w:val="50EC2B32"/>
    <w:rsid w:val="50F63DC5"/>
    <w:rsid w:val="51004D18"/>
    <w:rsid w:val="510E7828"/>
    <w:rsid w:val="510F0458"/>
    <w:rsid w:val="510F423E"/>
    <w:rsid w:val="512247A5"/>
    <w:rsid w:val="5139389D"/>
    <w:rsid w:val="51412E3F"/>
    <w:rsid w:val="514D60DE"/>
    <w:rsid w:val="515041C5"/>
    <w:rsid w:val="515716DB"/>
    <w:rsid w:val="5177394D"/>
    <w:rsid w:val="5177443D"/>
    <w:rsid w:val="517A557A"/>
    <w:rsid w:val="517E388E"/>
    <w:rsid w:val="51823496"/>
    <w:rsid w:val="51962A9D"/>
    <w:rsid w:val="519F5DF6"/>
    <w:rsid w:val="51A14105"/>
    <w:rsid w:val="51A3180E"/>
    <w:rsid w:val="51A54D5F"/>
    <w:rsid w:val="51B06EFE"/>
    <w:rsid w:val="51B92B9B"/>
    <w:rsid w:val="51C77740"/>
    <w:rsid w:val="51CC000D"/>
    <w:rsid w:val="51CD64B3"/>
    <w:rsid w:val="51EB424C"/>
    <w:rsid w:val="51EF41A3"/>
    <w:rsid w:val="51F9252A"/>
    <w:rsid w:val="520E35D6"/>
    <w:rsid w:val="52122C03"/>
    <w:rsid w:val="521814A2"/>
    <w:rsid w:val="52265E05"/>
    <w:rsid w:val="52306A4E"/>
    <w:rsid w:val="523D1B1A"/>
    <w:rsid w:val="524179E7"/>
    <w:rsid w:val="52491C87"/>
    <w:rsid w:val="525B4C3C"/>
    <w:rsid w:val="52771D95"/>
    <w:rsid w:val="527D41FE"/>
    <w:rsid w:val="52976ACD"/>
    <w:rsid w:val="52B70F1D"/>
    <w:rsid w:val="52D60D2E"/>
    <w:rsid w:val="52D7336D"/>
    <w:rsid w:val="52DE5306"/>
    <w:rsid w:val="52E2243E"/>
    <w:rsid w:val="52FE36FD"/>
    <w:rsid w:val="530D704E"/>
    <w:rsid w:val="531225F7"/>
    <w:rsid w:val="53253909"/>
    <w:rsid w:val="532E0AA3"/>
    <w:rsid w:val="533F163E"/>
    <w:rsid w:val="53415FC6"/>
    <w:rsid w:val="535A1982"/>
    <w:rsid w:val="53654E1D"/>
    <w:rsid w:val="536746F1"/>
    <w:rsid w:val="53715570"/>
    <w:rsid w:val="537D6A5F"/>
    <w:rsid w:val="538104BC"/>
    <w:rsid w:val="538243F4"/>
    <w:rsid w:val="538260A7"/>
    <w:rsid w:val="538452A3"/>
    <w:rsid w:val="53896B2F"/>
    <w:rsid w:val="538F069B"/>
    <w:rsid w:val="53965D6A"/>
    <w:rsid w:val="539F35C8"/>
    <w:rsid w:val="53B40942"/>
    <w:rsid w:val="53C4157A"/>
    <w:rsid w:val="53C41B44"/>
    <w:rsid w:val="53E62553"/>
    <w:rsid w:val="53EA0E7E"/>
    <w:rsid w:val="53FE30ED"/>
    <w:rsid w:val="540119DB"/>
    <w:rsid w:val="54011D8E"/>
    <w:rsid w:val="54014F98"/>
    <w:rsid w:val="540B4BF0"/>
    <w:rsid w:val="54355B38"/>
    <w:rsid w:val="543D22F3"/>
    <w:rsid w:val="543F6D8B"/>
    <w:rsid w:val="54543237"/>
    <w:rsid w:val="5463257E"/>
    <w:rsid w:val="54685B9D"/>
    <w:rsid w:val="546B7C96"/>
    <w:rsid w:val="546F42F9"/>
    <w:rsid w:val="54827DE7"/>
    <w:rsid w:val="54BD7936"/>
    <w:rsid w:val="54C65448"/>
    <w:rsid w:val="54CB0CB0"/>
    <w:rsid w:val="551400FD"/>
    <w:rsid w:val="551502E2"/>
    <w:rsid w:val="551C5928"/>
    <w:rsid w:val="5528557E"/>
    <w:rsid w:val="5543223B"/>
    <w:rsid w:val="555178E1"/>
    <w:rsid w:val="556F6374"/>
    <w:rsid w:val="558A51DB"/>
    <w:rsid w:val="558E00BC"/>
    <w:rsid w:val="559A69A6"/>
    <w:rsid w:val="55A12F28"/>
    <w:rsid w:val="55AA648C"/>
    <w:rsid w:val="55B335CC"/>
    <w:rsid w:val="55DC0BC5"/>
    <w:rsid w:val="560541D5"/>
    <w:rsid w:val="56066443"/>
    <w:rsid w:val="560B1E03"/>
    <w:rsid w:val="560F0994"/>
    <w:rsid w:val="56284402"/>
    <w:rsid w:val="562B7C58"/>
    <w:rsid w:val="562E7748"/>
    <w:rsid w:val="56363D8F"/>
    <w:rsid w:val="564C7BCE"/>
    <w:rsid w:val="5655792E"/>
    <w:rsid w:val="565B4B7F"/>
    <w:rsid w:val="56654DFD"/>
    <w:rsid w:val="56666EE2"/>
    <w:rsid w:val="567C0AA8"/>
    <w:rsid w:val="567E7FD3"/>
    <w:rsid w:val="56802E81"/>
    <w:rsid w:val="56846EC5"/>
    <w:rsid w:val="56936F32"/>
    <w:rsid w:val="56A30D58"/>
    <w:rsid w:val="56A6354C"/>
    <w:rsid w:val="56C37E91"/>
    <w:rsid w:val="56C81F1C"/>
    <w:rsid w:val="56D62C0B"/>
    <w:rsid w:val="56DB68DE"/>
    <w:rsid w:val="56E1637F"/>
    <w:rsid w:val="56E5619C"/>
    <w:rsid w:val="56EA18C1"/>
    <w:rsid w:val="56F5C3CF"/>
    <w:rsid w:val="56FC33A3"/>
    <w:rsid w:val="56FF6A94"/>
    <w:rsid w:val="57080F9F"/>
    <w:rsid w:val="57256D9D"/>
    <w:rsid w:val="572B5384"/>
    <w:rsid w:val="5745161E"/>
    <w:rsid w:val="57511001"/>
    <w:rsid w:val="57527466"/>
    <w:rsid w:val="5767167C"/>
    <w:rsid w:val="577461AC"/>
    <w:rsid w:val="577D32F0"/>
    <w:rsid w:val="57872A6A"/>
    <w:rsid w:val="578F2469"/>
    <w:rsid w:val="57914433"/>
    <w:rsid w:val="579310B1"/>
    <w:rsid w:val="579C387F"/>
    <w:rsid w:val="57AB627A"/>
    <w:rsid w:val="57BB14B0"/>
    <w:rsid w:val="57BC7B22"/>
    <w:rsid w:val="57ED0CCB"/>
    <w:rsid w:val="57F53688"/>
    <w:rsid w:val="581C27D1"/>
    <w:rsid w:val="581E271D"/>
    <w:rsid w:val="581E56E4"/>
    <w:rsid w:val="58324F0C"/>
    <w:rsid w:val="5851188E"/>
    <w:rsid w:val="58523BC2"/>
    <w:rsid w:val="58645662"/>
    <w:rsid w:val="586A79B6"/>
    <w:rsid w:val="588C69A8"/>
    <w:rsid w:val="588D419D"/>
    <w:rsid w:val="5892517F"/>
    <w:rsid w:val="589C6BEB"/>
    <w:rsid w:val="589D3A33"/>
    <w:rsid w:val="58A263B4"/>
    <w:rsid w:val="58AA7548"/>
    <w:rsid w:val="58AF6F99"/>
    <w:rsid w:val="58BC5B56"/>
    <w:rsid w:val="58C6010C"/>
    <w:rsid w:val="58DE07B7"/>
    <w:rsid w:val="58F430F6"/>
    <w:rsid w:val="58FA1E64"/>
    <w:rsid w:val="591F1682"/>
    <w:rsid w:val="59375A1D"/>
    <w:rsid w:val="5939664C"/>
    <w:rsid w:val="595C28BE"/>
    <w:rsid w:val="5963683C"/>
    <w:rsid w:val="59662975"/>
    <w:rsid w:val="596C58B7"/>
    <w:rsid w:val="596D67DA"/>
    <w:rsid w:val="596D7710"/>
    <w:rsid w:val="597A54E4"/>
    <w:rsid w:val="597E2D83"/>
    <w:rsid w:val="59862F0F"/>
    <w:rsid w:val="5987789B"/>
    <w:rsid w:val="59A153CF"/>
    <w:rsid w:val="59A514BE"/>
    <w:rsid w:val="59B61F2F"/>
    <w:rsid w:val="59B81AE9"/>
    <w:rsid w:val="59BD5A6D"/>
    <w:rsid w:val="59C52952"/>
    <w:rsid w:val="59E36E2E"/>
    <w:rsid w:val="59E52814"/>
    <w:rsid w:val="59E81791"/>
    <w:rsid w:val="59EA1BD8"/>
    <w:rsid w:val="5A0F3B18"/>
    <w:rsid w:val="5A1969F0"/>
    <w:rsid w:val="5A1B2694"/>
    <w:rsid w:val="5A276080"/>
    <w:rsid w:val="5A2C5159"/>
    <w:rsid w:val="5A347FEB"/>
    <w:rsid w:val="5A380B96"/>
    <w:rsid w:val="5A3C15A0"/>
    <w:rsid w:val="5A3F0176"/>
    <w:rsid w:val="5A554E5B"/>
    <w:rsid w:val="5A59655A"/>
    <w:rsid w:val="5A6A0738"/>
    <w:rsid w:val="5A6F6D8D"/>
    <w:rsid w:val="5A7D5E2A"/>
    <w:rsid w:val="5A932270"/>
    <w:rsid w:val="5AA02512"/>
    <w:rsid w:val="5AAB580B"/>
    <w:rsid w:val="5ABF12A7"/>
    <w:rsid w:val="5AC266B1"/>
    <w:rsid w:val="5AC4347D"/>
    <w:rsid w:val="5ACD39D4"/>
    <w:rsid w:val="5AD75C76"/>
    <w:rsid w:val="5ADC2252"/>
    <w:rsid w:val="5AE8428A"/>
    <w:rsid w:val="5B032599"/>
    <w:rsid w:val="5B0B1E06"/>
    <w:rsid w:val="5B0B4DC0"/>
    <w:rsid w:val="5B160F93"/>
    <w:rsid w:val="5B181723"/>
    <w:rsid w:val="5B1F1D55"/>
    <w:rsid w:val="5B295DF3"/>
    <w:rsid w:val="5B311173"/>
    <w:rsid w:val="5B3B1B1D"/>
    <w:rsid w:val="5B3D6E3B"/>
    <w:rsid w:val="5B58794A"/>
    <w:rsid w:val="5B5F4BE9"/>
    <w:rsid w:val="5B637846"/>
    <w:rsid w:val="5B7163FA"/>
    <w:rsid w:val="5B721E85"/>
    <w:rsid w:val="5B752632"/>
    <w:rsid w:val="5B7F3AD9"/>
    <w:rsid w:val="5B871DD5"/>
    <w:rsid w:val="5B90055D"/>
    <w:rsid w:val="5B950CFD"/>
    <w:rsid w:val="5B977B3E"/>
    <w:rsid w:val="5B993689"/>
    <w:rsid w:val="5BA04C44"/>
    <w:rsid w:val="5BA17541"/>
    <w:rsid w:val="5BB87F5D"/>
    <w:rsid w:val="5BC326E1"/>
    <w:rsid w:val="5BC46A10"/>
    <w:rsid w:val="5BC730F0"/>
    <w:rsid w:val="5BC82628"/>
    <w:rsid w:val="5BCF6667"/>
    <w:rsid w:val="5BE4195C"/>
    <w:rsid w:val="5BEB4D34"/>
    <w:rsid w:val="5BED06D4"/>
    <w:rsid w:val="5BF11639"/>
    <w:rsid w:val="5BF14385"/>
    <w:rsid w:val="5BF46DD7"/>
    <w:rsid w:val="5C0E333F"/>
    <w:rsid w:val="5C2A5178"/>
    <w:rsid w:val="5C416ED7"/>
    <w:rsid w:val="5C442095"/>
    <w:rsid w:val="5C4B1880"/>
    <w:rsid w:val="5C562452"/>
    <w:rsid w:val="5C56485E"/>
    <w:rsid w:val="5C677510"/>
    <w:rsid w:val="5C6B03E1"/>
    <w:rsid w:val="5C741C2D"/>
    <w:rsid w:val="5C895081"/>
    <w:rsid w:val="5C8A04DE"/>
    <w:rsid w:val="5C9C33C6"/>
    <w:rsid w:val="5CA93FCD"/>
    <w:rsid w:val="5CC149DD"/>
    <w:rsid w:val="5CC915CF"/>
    <w:rsid w:val="5CC93515"/>
    <w:rsid w:val="5CCA49F8"/>
    <w:rsid w:val="5CCA5F10"/>
    <w:rsid w:val="5CD35655"/>
    <w:rsid w:val="5CD73956"/>
    <w:rsid w:val="5CE45005"/>
    <w:rsid w:val="5CFC1D60"/>
    <w:rsid w:val="5CFF7659"/>
    <w:rsid w:val="5D0076FF"/>
    <w:rsid w:val="5D2A08C0"/>
    <w:rsid w:val="5D325D70"/>
    <w:rsid w:val="5D3C099D"/>
    <w:rsid w:val="5D3C274B"/>
    <w:rsid w:val="5D3C58E0"/>
    <w:rsid w:val="5D473CFC"/>
    <w:rsid w:val="5D683384"/>
    <w:rsid w:val="5D8C3996"/>
    <w:rsid w:val="5D962D72"/>
    <w:rsid w:val="5D96638F"/>
    <w:rsid w:val="5DA36C6E"/>
    <w:rsid w:val="5DCB74D8"/>
    <w:rsid w:val="5DE66B5A"/>
    <w:rsid w:val="5DEF30E4"/>
    <w:rsid w:val="5DF24B50"/>
    <w:rsid w:val="5DF9688E"/>
    <w:rsid w:val="5E021B2B"/>
    <w:rsid w:val="5E200B22"/>
    <w:rsid w:val="5E376951"/>
    <w:rsid w:val="5E4B1131"/>
    <w:rsid w:val="5E5341F0"/>
    <w:rsid w:val="5E557935"/>
    <w:rsid w:val="5E587A58"/>
    <w:rsid w:val="5E5F78A8"/>
    <w:rsid w:val="5E6E375A"/>
    <w:rsid w:val="5E792530"/>
    <w:rsid w:val="5E796271"/>
    <w:rsid w:val="5E7B7D86"/>
    <w:rsid w:val="5E7E05A8"/>
    <w:rsid w:val="5E847FBB"/>
    <w:rsid w:val="5EA83C20"/>
    <w:rsid w:val="5EAA6F5F"/>
    <w:rsid w:val="5EAB6A71"/>
    <w:rsid w:val="5EB822A5"/>
    <w:rsid w:val="5EBA426F"/>
    <w:rsid w:val="5EC1237B"/>
    <w:rsid w:val="5ED665B0"/>
    <w:rsid w:val="5EDD2779"/>
    <w:rsid w:val="5EE5521E"/>
    <w:rsid w:val="5F0637E4"/>
    <w:rsid w:val="5F11296C"/>
    <w:rsid w:val="5F1C6CD8"/>
    <w:rsid w:val="5F1F4636"/>
    <w:rsid w:val="5F4705F2"/>
    <w:rsid w:val="5F4918E4"/>
    <w:rsid w:val="5F531FCE"/>
    <w:rsid w:val="5F6277ED"/>
    <w:rsid w:val="5F661040"/>
    <w:rsid w:val="5F6F1A33"/>
    <w:rsid w:val="5F701430"/>
    <w:rsid w:val="5F724B4A"/>
    <w:rsid w:val="5F7420BA"/>
    <w:rsid w:val="5F7669E7"/>
    <w:rsid w:val="5F7D678A"/>
    <w:rsid w:val="5F8067D3"/>
    <w:rsid w:val="5F822615"/>
    <w:rsid w:val="5F8D222A"/>
    <w:rsid w:val="5F8E72E8"/>
    <w:rsid w:val="5F9C1774"/>
    <w:rsid w:val="5FB52C88"/>
    <w:rsid w:val="5FB53A1A"/>
    <w:rsid w:val="5FB87DF9"/>
    <w:rsid w:val="5FB9A025"/>
    <w:rsid w:val="5FC35B9F"/>
    <w:rsid w:val="5FCC3F1F"/>
    <w:rsid w:val="5FD00248"/>
    <w:rsid w:val="5FD3347D"/>
    <w:rsid w:val="5FDD53B3"/>
    <w:rsid w:val="5FEB1B7B"/>
    <w:rsid w:val="5FF23595"/>
    <w:rsid w:val="6005151A"/>
    <w:rsid w:val="60093B52"/>
    <w:rsid w:val="6010496B"/>
    <w:rsid w:val="60162473"/>
    <w:rsid w:val="601C0D19"/>
    <w:rsid w:val="60236557"/>
    <w:rsid w:val="603315F8"/>
    <w:rsid w:val="6044515C"/>
    <w:rsid w:val="604873D4"/>
    <w:rsid w:val="604F4E8B"/>
    <w:rsid w:val="60507F1B"/>
    <w:rsid w:val="607A0F65"/>
    <w:rsid w:val="608012B5"/>
    <w:rsid w:val="60934D78"/>
    <w:rsid w:val="609840A1"/>
    <w:rsid w:val="60A06EAD"/>
    <w:rsid w:val="60BE5F5D"/>
    <w:rsid w:val="60C65FE6"/>
    <w:rsid w:val="60DE4622"/>
    <w:rsid w:val="60E46C08"/>
    <w:rsid w:val="60EC20C5"/>
    <w:rsid w:val="60FB01DC"/>
    <w:rsid w:val="610063AD"/>
    <w:rsid w:val="610B3085"/>
    <w:rsid w:val="611539DF"/>
    <w:rsid w:val="613100ED"/>
    <w:rsid w:val="61373B34"/>
    <w:rsid w:val="614A2973"/>
    <w:rsid w:val="614B5652"/>
    <w:rsid w:val="6156788B"/>
    <w:rsid w:val="61623D8F"/>
    <w:rsid w:val="616355F0"/>
    <w:rsid w:val="61656A51"/>
    <w:rsid w:val="616752DB"/>
    <w:rsid w:val="616B1851"/>
    <w:rsid w:val="61700D72"/>
    <w:rsid w:val="617F2AC5"/>
    <w:rsid w:val="6189763D"/>
    <w:rsid w:val="618A11EB"/>
    <w:rsid w:val="61933A90"/>
    <w:rsid w:val="61B54AD2"/>
    <w:rsid w:val="61C64CD9"/>
    <w:rsid w:val="61E20163"/>
    <w:rsid w:val="61E41603"/>
    <w:rsid w:val="61E60F09"/>
    <w:rsid w:val="61ED12FA"/>
    <w:rsid w:val="61FE1D96"/>
    <w:rsid w:val="620507D4"/>
    <w:rsid w:val="620C426A"/>
    <w:rsid w:val="620D2908"/>
    <w:rsid w:val="62126170"/>
    <w:rsid w:val="62143C96"/>
    <w:rsid w:val="62162CF2"/>
    <w:rsid w:val="622B1FF9"/>
    <w:rsid w:val="622E0BF6"/>
    <w:rsid w:val="623B3D0B"/>
    <w:rsid w:val="624E0417"/>
    <w:rsid w:val="625422E5"/>
    <w:rsid w:val="62582C10"/>
    <w:rsid w:val="625A1746"/>
    <w:rsid w:val="62613B2E"/>
    <w:rsid w:val="629758EA"/>
    <w:rsid w:val="629D1B83"/>
    <w:rsid w:val="62AD7C47"/>
    <w:rsid w:val="62BE3686"/>
    <w:rsid w:val="62C001B9"/>
    <w:rsid w:val="62C523B0"/>
    <w:rsid w:val="62C72801"/>
    <w:rsid w:val="62D46706"/>
    <w:rsid w:val="62EE6CF5"/>
    <w:rsid w:val="62F30D61"/>
    <w:rsid w:val="630369FA"/>
    <w:rsid w:val="6309270E"/>
    <w:rsid w:val="63163A3E"/>
    <w:rsid w:val="632717A7"/>
    <w:rsid w:val="632B74E9"/>
    <w:rsid w:val="63391447"/>
    <w:rsid w:val="634D6444"/>
    <w:rsid w:val="635527B8"/>
    <w:rsid w:val="63595483"/>
    <w:rsid w:val="635B5114"/>
    <w:rsid w:val="63670B36"/>
    <w:rsid w:val="636808A3"/>
    <w:rsid w:val="636809E1"/>
    <w:rsid w:val="636D2F6E"/>
    <w:rsid w:val="637D6CAE"/>
    <w:rsid w:val="639C18F4"/>
    <w:rsid w:val="63A625D4"/>
    <w:rsid w:val="63B63767"/>
    <w:rsid w:val="63B92EF4"/>
    <w:rsid w:val="63D07143"/>
    <w:rsid w:val="63D863F5"/>
    <w:rsid w:val="63DD2EBD"/>
    <w:rsid w:val="63DD5C62"/>
    <w:rsid w:val="63DF2D51"/>
    <w:rsid w:val="63EA7336"/>
    <w:rsid w:val="63ED0C43"/>
    <w:rsid w:val="63ED29F1"/>
    <w:rsid w:val="63F0603D"/>
    <w:rsid w:val="63F6752C"/>
    <w:rsid w:val="63FA52B9"/>
    <w:rsid w:val="64091A79"/>
    <w:rsid w:val="641D00AF"/>
    <w:rsid w:val="641E0590"/>
    <w:rsid w:val="642E1904"/>
    <w:rsid w:val="64312827"/>
    <w:rsid w:val="643D6FF1"/>
    <w:rsid w:val="645B2050"/>
    <w:rsid w:val="645B4ABD"/>
    <w:rsid w:val="64803865"/>
    <w:rsid w:val="648764A2"/>
    <w:rsid w:val="649647FD"/>
    <w:rsid w:val="64A32339"/>
    <w:rsid w:val="64AA51B5"/>
    <w:rsid w:val="64B03421"/>
    <w:rsid w:val="64B72EBA"/>
    <w:rsid w:val="64BA7A49"/>
    <w:rsid w:val="64C61940"/>
    <w:rsid w:val="64C704DE"/>
    <w:rsid w:val="64CC4691"/>
    <w:rsid w:val="64DA557F"/>
    <w:rsid w:val="64DD2A65"/>
    <w:rsid w:val="64E42632"/>
    <w:rsid w:val="64F67403"/>
    <w:rsid w:val="64FA78C8"/>
    <w:rsid w:val="651B351B"/>
    <w:rsid w:val="653D3F7B"/>
    <w:rsid w:val="653F303E"/>
    <w:rsid w:val="65454B7F"/>
    <w:rsid w:val="65455165"/>
    <w:rsid w:val="65491EA9"/>
    <w:rsid w:val="654A79CF"/>
    <w:rsid w:val="654F7706"/>
    <w:rsid w:val="65513EA4"/>
    <w:rsid w:val="65532D27"/>
    <w:rsid w:val="655A1441"/>
    <w:rsid w:val="655D2CDB"/>
    <w:rsid w:val="65601F34"/>
    <w:rsid w:val="65695331"/>
    <w:rsid w:val="656E7083"/>
    <w:rsid w:val="656E7A21"/>
    <w:rsid w:val="65717652"/>
    <w:rsid w:val="65767A70"/>
    <w:rsid w:val="657A7171"/>
    <w:rsid w:val="65847385"/>
    <w:rsid w:val="65BF03BD"/>
    <w:rsid w:val="65C65A9A"/>
    <w:rsid w:val="65D85E53"/>
    <w:rsid w:val="65DF7DB0"/>
    <w:rsid w:val="65E10333"/>
    <w:rsid w:val="65E73470"/>
    <w:rsid w:val="65E81062"/>
    <w:rsid w:val="65EE0CA2"/>
    <w:rsid w:val="66036B25"/>
    <w:rsid w:val="66042274"/>
    <w:rsid w:val="66081175"/>
    <w:rsid w:val="660B715E"/>
    <w:rsid w:val="66100C12"/>
    <w:rsid w:val="661E1A7B"/>
    <w:rsid w:val="6620560F"/>
    <w:rsid w:val="66226EC0"/>
    <w:rsid w:val="662B6A5A"/>
    <w:rsid w:val="662D1B66"/>
    <w:rsid w:val="662E25FC"/>
    <w:rsid w:val="66493732"/>
    <w:rsid w:val="66556445"/>
    <w:rsid w:val="667623B9"/>
    <w:rsid w:val="667F685C"/>
    <w:rsid w:val="66876CE5"/>
    <w:rsid w:val="668C0B60"/>
    <w:rsid w:val="66942985"/>
    <w:rsid w:val="66956714"/>
    <w:rsid w:val="66A01E2A"/>
    <w:rsid w:val="66A35C7B"/>
    <w:rsid w:val="66C37ED5"/>
    <w:rsid w:val="66D42B87"/>
    <w:rsid w:val="66D460EA"/>
    <w:rsid w:val="67003978"/>
    <w:rsid w:val="6710264E"/>
    <w:rsid w:val="671618D4"/>
    <w:rsid w:val="6732310A"/>
    <w:rsid w:val="67343F75"/>
    <w:rsid w:val="673E69C9"/>
    <w:rsid w:val="6741641A"/>
    <w:rsid w:val="674C2B76"/>
    <w:rsid w:val="67530DBD"/>
    <w:rsid w:val="679B344B"/>
    <w:rsid w:val="67B41968"/>
    <w:rsid w:val="67BD5F82"/>
    <w:rsid w:val="67D143D7"/>
    <w:rsid w:val="67D36A53"/>
    <w:rsid w:val="67DD4B2A"/>
    <w:rsid w:val="67E41806"/>
    <w:rsid w:val="67E7789B"/>
    <w:rsid w:val="67EC5332"/>
    <w:rsid w:val="67EE0913"/>
    <w:rsid w:val="67FB61E5"/>
    <w:rsid w:val="680406BF"/>
    <w:rsid w:val="680C4A16"/>
    <w:rsid w:val="68126ECA"/>
    <w:rsid w:val="681A4991"/>
    <w:rsid w:val="681E2C29"/>
    <w:rsid w:val="68263636"/>
    <w:rsid w:val="68352BB8"/>
    <w:rsid w:val="683A1692"/>
    <w:rsid w:val="68477836"/>
    <w:rsid w:val="68490412"/>
    <w:rsid w:val="68567149"/>
    <w:rsid w:val="6861575B"/>
    <w:rsid w:val="68616F41"/>
    <w:rsid w:val="686A67DD"/>
    <w:rsid w:val="686F60CA"/>
    <w:rsid w:val="687002AB"/>
    <w:rsid w:val="687562C1"/>
    <w:rsid w:val="687D4F85"/>
    <w:rsid w:val="687E630D"/>
    <w:rsid w:val="687E7E22"/>
    <w:rsid w:val="689942D0"/>
    <w:rsid w:val="68997F4C"/>
    <w:rsid w:val="68A41BCD"/>
    <w:rsid w:val="68BB30BE"/>
    <w:rsid w:val="68C006D4"/>
    <w:rsid w:val="68C5148F"/>
    <w:rsid w:val="68CF339E"/>
    <w:rsid w:val="68DC3F7F"/>
    <w:rsid w:val="68EA3CEC"/>
    <w:rsid w:val="68EE3032"/>
    <w:rsid w:val="68F304F4"/>
    <w:rsid w:val="68F640F6"/>
    <w:rsid w:val="68FA756E"/>
    <w:rsid w:val="68FE744E"/>
    <w:rsid w:val="6904102C"/>
    <w:rsid w:val="69076303"/>
    <w:rsid w:val="690B2E1D"/>
    <w:rsid w:val="69116906"/>
    <w:rsid w:val="69140C0F"/>
    <w:rsid w:val="691B51DB"/>
    <w:rsid w:val="69376664"/>
    <w:rsid w:val="69383C3E"/>
    <w:rsid w:val="693E3CEF"/>
    <w:rsid w:val="69407A67"/>
    <w:rsid w:val="69466DBE"/>
    <w:rsid w:val="69505623"/>
    <w:rsid w:val="69506D1F"/>
    <w:rsid w:val="6953779A"/>
    <w:rsid w:val="6958090C"/>
    <w:rsid w:val="695C1052"/>
    <w:rsid w:val="696B08ED"/>
    <w:rsid w:val="696D332C"/>
    <w:rsid w:val="69766D84"/>
    <w:rsid w:val="69780837"/>
    <w:rsid w:val="697809DE"/>
    <w:rsid w:val="697B04CD"/>
    <w:rsid w:val="698A47A4"/>
    <w:rsid w:val="698A7E99"/>
    <w:rsid w:val="699B3F0F"/>
    <w:rsid w:val="69A13FA7"/>
    <w:rsid w:val="69B31FE7"/>
    <w:rsid w:val="69C366F0"/>
    <w:rsid w:val="69C6217D"/>
    <w:rsid w:val="69C9001C"/>
    <w:rsid w:val="69CE221E"/>
    <w:rsid w:val="69DF47C8"/>
    <w:rsid w:val="69E60CAD"/>
    <w:rsid w:val="69F07B5F"/>
    <w:rsid w:val="69F30635"/>
    <w:rsid w:val="6A1750C1"/>
    <w:rsid w:val="6A177B3C"/>
    <w:rsid w:val="6A1A6915"/>
    <w:rsid w:val="6A214B0E"/>
    <w:rsid w:val="6A276531"/>
    <w:rsid w:val="6A366774"/>
    <w:rsid w:val="6A3B4C65"/>
    <w:rsid w:val="6A494F46"/>
    <w:rsid w:val="6A5437CA"/>
    <w:rsid w:val="6A5C4E42"/>
    <w:rsid w:val="6A771C8C"/>
    <w:rsid w:val="6A7E0847"/>
    <w:rsid w:val="6AA70623"/>
    <w:rsid w:val="6AC45F1D"/>
    <w:rsid w:val="6ACE472D"/>
    <w:rsid w:val="6AD151F4"/>
    <w:rsid w:val="6AD541DF"/>
    <w:rsid w:val="6AD6501A"/>
    <w:rsid w:val="6ADF1DB2"/>
    <w:rsid w:val="6AE22E62"/>
    <w:rsid w:val="6AF66D9D"/>
    <w:rsid w:val="6B044B94"/>
    <w:rsid w:val="6B2111D2"/>
    <w:rsid w:val="6B250CC2"/>
    <w:rsid w:val="6B272A3A"/>
    <w:rsid w:val="6B29591C"/>
    <w:rsid w:val="6B2A64E8"/>
    <w:rsid w:val="6B2D2481"/>
    <w:rsid w:val="6B363A13"/>
    <w:rsid w:val="6B514C55"/>
    <w:rsid w:val="6B526F9E"/>
    <w:rsid w:val="6B576D20"/>
    <w:rsid w:val="6B5D36FB"/>
    <w:rsid w:val="6B64759D"/>
    <w:rsid w:val="6B673A76"/>
    <w:rsid w:val="6B6B6C72"/>
    <w:rsid w:val="6B717729"/>
    <w:rsid w:val="6B813666"/>
    <w:rsid w:val="6B8BD160"/>
    <w:rsid w:val="6B8E6254"/>
    <w:rsid w:val="6B9B6D2F"/>
    <w:rsid w:val="6BA555B7"/>
    <w:rsid w:val="6BAB6E72"/>
    <w:rsid w:val="6BE60DC5"/>
    <w:rsid w:val="6BF424C6"/>
    <w:rsid w:val="6BF43E89"/>
    <w:rsid w:val="6BF863D7"/>
    <w:rsid w:val="6BF95CAB"/>
    <w:rsid w:val="6BFD80A7"/>
    <w:rsid w:val="6BFDF152"/>
    <w:rsid w:val="6C077FE9"/>
    <w:rsid w:val="6C0C0DEB"/>
    <w:rsid w:val="6C0E1F55"/>
    <w:rsid w:val="6C100957"/>
    <w:rsid w:val="6C103720"/>
    <w:rsid w:val="6C180827"/>
    <w:rsid w:val="6C281E78"/>
    <w:rsid w:val="6C2E0159"/>
    <w:rsid w:val="6C375151"/>
    <w:rsid w:val="6C4336D6"/>
    <w:rsid w:val="6C4E249B"/>
    <w:rsid w:val="6C53360D"/>
    <w:rsid w:val="6C536E1C"/>
    <w:rsid w:val="6C555DF8"/>
    <w:rsid w:val="6C5F0204"/>
    <w:rsid w:val="6C761A2B"/>
    <w:rsid w:val="6C7D68DC"/>
    <w:rsid w:val="6C920694"/>
    <w:rsid w:val="6C937EAD"/>
    <w:rsid w:val="6C950229"/>
    <w:rsid w:val="6C9C1458"/>
    <w:rsid w:val="6CA5227D"/>
    <w:rsid w:val="6CB13791"/>
    <w:rsid w:val="6CB23E44"/>
    <w:rsid w:val="6CC20C29"/>
    <w:rsid w:val="6CC42C7A"/>
    <w:rsid w:val="6CD850D0"/>
    <w:rsid w:val="6CDB2D18"/>
    <w:rsid w:val="6CDC3CF0"/>
    <w:rsid w:val="6CDE737B"/>
    <w:rsid w:val="6CE02047"/>
    <w:rsid w:val="6CF879B6"/>
    <w:rsid w:val="6CFF334E"/>
    <w:rsid w:val="6D0659F9"/>
    <w:rsid w:val="6D0B50F2"/>
    <w:rsid w:val="6D0C32F9"/>
    <w:rsid w:val="6D21545B"/>
    <w:rsid w:val="6D227A49"/>
    <w:rsid w:val="6D430958"/>
    <w:rsid w:val="6D441F9F"/>
    <w:rsid w:val="6D471ED2"/>
    <w:rsid w:val="6D6012D3"/>
    <w:rsid w:val="6D6367E9"/>
    <w:rsid w:val="6D6C0E2A"/>
    <w:rsid w:val="6D7827F0"/>
    <w:rsid w:val="6D853C9A"/>
    <w:rsid w:val="6D877A12"/>
    <w:rsid w:val="6D9A6441"/>
    <w:rsid w:val="6D9CCD64"/>
    <w:rsid w:val="6D9D5BEC"/>
    <w:rsid w:val="6DA56D07"/>
    <w:rsid w:val="6DBA02B8"/>
    <w:rsid w:val="6DBB76BC"/>
    <w:rsid w:val="6DBC34C8"/>
    <w:rsid w:val="6DCE53C5"/>
    <w:rsid w:val="6DD64BFD"/>
    <w:rsid w:val="6DFF36BD"/>
    <w:rsid w:val="6E0F4A6C"/>
    <w:rsid w:val="6E1A0886"/>
    <w:rsid w:val="6E2D2EB7"/>
    <w:rsid w:val="6E3A1B1A"/>
    <w:rsid w:val="6E494C3B"/>
    <w:rsid w:val="6E5D5BE5"/>
    <w:rsid w:val="6E647E45"/>
    <w:rsid w:val="6E654DF6"/>
    <w:rsid w:val="6E712F57"/>
    <w:rsid w:val="6E7355B6"/>
    <w:rsid w:val="6E777A87"/>
    <w:rsid w:val="6E7D2BC3"/>
    <w:rsid w:val="6E810650"/>
    <w:rsid w:val="6E8C2E06"/>
    <w:rsid w:val="6E940477"/>
    <w:rsid w:val="6E9F0E3C"/>
    <w:rsid w:val="6EA3670A"/>
    <w:rsid w:val="6EBB78D1"/>
    <w:rsid w:val="6ECC6C99"/>
    <w:rsid w:val="6EDF0AA6"/>
    <w:rsid w:val="6EE02CCC"/>
    <w:rsid w:val="6EE311C4"/>
    <w:rsid w:val="6EE6189A"/>
    <w:rsid w:val="6EED5551"/>
    <w:rsid w:val="6EEE5718"/>
    <w:rsid w:val="6EFDA9CF"/>
    <w:rsid w:val="6F0C2F91"/>
    <w:rsid w:val="6F174DC6"/>
    <w:rsid w:val="6F196B87"/>
    <w:rsid w:val="6F1A5C26"/>
    <w:rsid w:val="6F1E744C"/>
    <w:rsid w:val="6F227BC0"/>
    <w:rsid w:val="6F2B25FC"/>
    <w:rsid w:val="6F3E05A4"/>
    <w:rsid w:val="6F435BBB"/>
    <w:rsid w:val="6F5F3C10"/>
    <w:rsid w:val="6F667AFB"/>
    <w:rsid w:val="6F672C14"/>
    <w:rsid w:val="6F6D2B03"/>
    <w:rsid w:val="6F7A740B"/>
    <w:rsid w:val="6F7B23A2"/>
    <w:rsid w:val="6F94626F"/>
    <w:rsid w:val="6F996DC4"/>
    <w:rsid w:val="6F9E3748"/>
    <w:rsid w:val="6FAB3AA4"/>
    <w:rsid w:val="6FBA6851"/>
    <w:rsid w:val="6FC02275"/>
    <w:rsid w:val="6FC82972"/>
    <w:rsid w:val="6FCE48FF"/>
    <w:rsid w:val="6FCF5707"/>
    <w:rsid w:val="6FD26F3F"/>
    <w:rsid w:val="6FEC475D"/>
    <w:rsid w:val="6FF8664C"/>
    <w:rsid w:val="6FFFAE24"/>
    <w:rsid w:val="70065D98"/>
    <w:rsid w:val="70104F7C"/>
    <w:rsid w:val="7014089D"/>
    <w:rsid w:val="7020414E"/>
    <w:rsid w:val="7036571F"/>
    <w:rsid w:val="7040644A"/>
    <w:rsid w:val="704219E1"/>
    <w:rsid w:val="70423FD9"/>
    <w:rsid w:val="70441BEA"/>
    <w:rsid w:val="70480FAF"/>
    <w:rsid w:val="7057124B"/>
    <w:rsid w:val="705A17F8"/>
    <w:rsid w:val="705D08A7"/>
    <w:rsid w:val="705D6F5A"/>
    <w:rsid w:val="70625E58"/>
    <w:rsid w:val="706406DD"/>
    <w:rsid w:val="707B4851"/>
    <w:rsid w:val="707D2EED"/>
    <w:rsid w:val="708C551A"/>
    <w:rsid w:val="709541F4"/>
    <w:rsid w:val="709D0EE7"/>
    <w:rsid w:val="70A1703D"/>
    <w:rsid w:val="70D42BE2"/>
    <w:rsid w:val="70E36CC9"/>
    <w:rsid w:val="70EC5DDE"/>
    <w:rsid w:val="70F82FA7"/>
    <w:rsid w:val="70FA4404"/>
    <w:rsid w:val="70FB534E"/>
    <w:rsid w:val="71053412"/>
    <w:rsid w:val="710B4B8D"/>
    <w:rsid w:val="710E3B2D"/>
    <w:rsid w:val="711E1FB0"/>
    <w:rsid w:val="712F09F4"/>
    <w:rsid w:val="714C7C62"/>
    <w:rsid w:val="715B74CF"/>
    <w:rsid w:val="71612B50"/>
    <w:rsid w:val="71657728"/>
    <w:rsid w:val="718F158B"/>
    <w:rsid w:val="71996AC6"/>
    <w:rsid w:val="71B354E5"/>
    <w:rsid w:val="71B457F4"/>
    <w:rsid w:val="71BB8992"/>
    <w:rsid w:val="71DE7016"/>
    <w:rsid w:val="71DF766A"/>
    <w:rsid w:val="71E253BF"/>
    <w:rsid w:val="71E60799"/>
    <w:rsid w:val="71EB6961"/>
    <w:rsid w:val="71F55FD8"/>
    <w:rsid w:val="71F85B6D"/>
    <w:rsid w:val="720E436E"/>
    <w:rsid w:val="720F7FD6"/>
    <w:rsid w:val="721B2E1F"/>
    <w:rsid w:val="72250076"/>
    <w:rsid w:val="72301E5B"/>
    <w:rsid w:val="7238635A"/>
    <w:rsid w:val="724817EE"/>
    <w:rsid w:val="724F304D"/>
    <w:rsid w:val="72512795"/>
    <w:rsid w:val="727C3957"/>
    <w:rsid w:val="72924554"/>
    <w:rsid w:val="729E49A8"/>
    <w:rsid w:val="72A254BD"/>
    <w:rsid w:val="72B50B7E"/>
    <w:rsid w:val="72BC2850"/>
    <w:rsid w:val="72BD2C86"/>
    <w:rsid w:val="72C726E5"/>
    <w:rsid w:val="72EC194C"/>
    <w:rsid w:val="72F01BB6"/>
    <w:rsid w:val="72F35CE0"/>
    <w:rsid w:val="72F752F4"/>
    <w:rsid w:val="72FF0B68"/>
    <w:rsid w:val="7304782F"/>
    <w:rsid w:val="73061266"/>
    <w:rsid w:val="73131F38"/>
    <w:rsid w:val="73243F55"/>
    <w:rsid w:val="73261311"/>
    <w:rsid w:val="73267CCD"/>
    <w:rsid w:val="732E3C34"/>
    <w:rsid w:val="732F38FE"/>
    <w:rsid w:val="73345814"/>
    <w:rsid w:val="734D7008"/>
    <w:rsid w:val="734F079E"/>
    <w:rsid w:val="7363682B"/>
    <w:rsid w:val="736507F6"/>
    <w:rsid w:val="736D1AFC"/>
    <w:rsid w:val="73937BEA"/>
    <w:rsid w:val="73950A7C"/>
    <w:rsid w:val="73AF7CC3"/>
    <w:rsid w:val="73BB6668"/>
    <w:rsid w:val="73C22D75"/>
    <w:rsid w:val="73DB8857"/>
    <w:rsid w:val="73DE16B1"/>
    <w:rsid w:val="73E56614"/>
    <w:rsid w:val="73FA20B1"/>
    <w:rsid w:val="7401022B"/>
    <w:rsid w:val="74031DBD"/>
    <w:rsid w:val="74077FCD"/>
    <w:rsid w:val="740B209D"/>
    <w:rsid w:val="74111588"/>
    <w:rsid w:val="741B5358"/>
    <w:rsid w:val="74201629"/>
    <w:rsid w:val="74204819"/>
    <w:rsid w:val="74273CFD"/>
    <w:rsid w:val="74290C56"/>
    <w:rsid w:val="74302426"/>
    <w:rsid w:val="743B0A0C"/>
    <w:rsid w:val="744037A8"/>
    <w:rsid w:val="7447551A"/>
    <w:rsid w:val="744D71AF"/>
    <w:rsid w:val="74555354"/>
    <w:rsid w:val="745F3A75"/>
    <w:rsid w:val="746A7CD9"/>
    <w:rsid w:val="7475332E"/>
    <w:rsid w:val="747D1B6F"/>
    <w:rsid w:val="74981B5A"/>
    <w:rsid w:val="749D6164"/>
    <w:rsid w:val="74A82061"/>
    <w:rsid w:val="74C81749"/>
    <w:rsid w:val="74CC68E0"/>
    <w:rsid w:val="74CE0A9B"/>
    <w:rsid w:val="74CF1C9F"/>
    <w:rsid w:val="74DD5500"/>
    <w:rsid w:val="74E25244"/>
    <w:rsid w:val="74E81926"/>
    <w:rsid w:val="74FB3256"/>
    <w:rsid w:val="75076C79"/>
    <w:rsid w:val="75091676"/>
    <w:rsid w:val="75116A6C"/>
    <w:rsid w:val="7528018D"/>
    <w:rsid w:val="752925FC"/>
    <w:rsid w:val="75436915"/>
    <w:rsid w:val="754601B3"/>
    <w:rsid w:val="7551025F"/>
    <w:rsid w:val="75583A65"/>
    <w:rsid w:val="757418C6"/>
    <w:rsid w:val="757B8CBE"/>
    <w:rsid w:val="757E6FDC"/>
    <w:rsid w:val="7596618A"/>
    <w:rsid w:val="75A64D45"/>
    <w:rsid w:val="75B4357D"/>
    <w:rsid w:val="75B74C0D"/>
    <w:rsid w:val="75BE4F19"/>
    <w:rsid w:val="75D605CB"/>
    <w:rsid w:val="75E63448"/>
    <w:rsid w:val="75F6645E"/>
    <w:rsid w:val="75F708A8"/>
    <w:rsid w:val="75F920DA"/>
    <w:rsid w:val="75FF60A3"/>
    <w:rsid w:val="760D23F9"/>
    <w:rsid w:val="761653E0"/>
    <w:rsid w:val="76286F0E"/>
    <w:rsid w:val="762A3631"/>
    <w:rsid w:val="76363F76"/>
    <w:rsid w:val="76371C9A"/>
    <w:rsid w:val="76377AFB"/>
    <w:rsid w:val="7645046A"/>
    <w:rsid w:val="764979AE"/>
    <w:rsid w:val="764D111C"/>
    <w:rsid w:val="7658153B"/>
    <w:rsid w:val="76623268"/>
    <w:rsid w:val="76755BDE"/>
    <w:rsid w:val="767A4573"/>
    <w:rsid w:val="76912812"/>
    <w:rsid w:val="76941CCF"/>
    <w:rsid w:val="76A00BD8"/>
    <w:rsid w:val="76A1185A"/>
    <w:rsid w:val="76A139A3"/>
    <w:rsid w:val="76A20D91"/>
    <w:rsid w:val="76AF0906"/>
    <w:rsid w:val="76B64EC4"/>
    <w:rsid w:val="76C02894"/>
    <w:rsid w:val="76C13C0E"/>
    <w:rsid w:val="76D0242A"/>
    <w:rsid w:val="76D35A76"/>
    <w:rsid w:val="76D77EFA"/>
    <w:rsid w:val="76EC46EF"/>
    <w:rsid w:val="76F61765"/>
    <w:rsid w:val="76F6483E"/>
    <w:rsid w:val="76F738C2"/>
    <w:rsid w:val="77120F85"/>
    <w:rsid w:val="77163BB5"/>
    <w:rsid w:val="77183DD1"/>
    <w:rsid w:val="772FFD04"/>
    <w:rsid w:val="7732F158"/>
    <w:rsid w:val="7740193F"/>
    <w:rsid w:val="77405256"/>
    <w:rsid w:val="7746498A"/>
    <w:rsid w:val="77526E0C"/>
    <w:rsid w:val="776841F1"/>
    <w:rsid w:val="7771703D"/>
    <w:rsid w:val="7773D79D"/>
    <w:rsid w:val="77805CF0"/>
    <w:rsid w:val="778A0776"/>
    <w:rsid w:val="778E5DF7"/>
    <w:rsid w:val="778F0422"/>
    <w:rsid w:val="778F7DB3"/>
    <w:rsid w:val="77911BDB"/>
    <w:rsid w:val="77957A74"/>
    <w:rsid w:val="77985B42"/>
    <w:rsid w:val="779DDAE7"/>
    <w:rsid w:val="77C56F71"/>
    <w:rsid w:val="77D602C6"/>
    <w:rsid w:val="77DE32D5"/>
    <w:rsid w:val="77E17D9F"/>
    <w:rsid w:val="77EC24AD"/>
    <w:rsid w:val="77F03269"/>
    <w:rsid w:val="77F46728"/>
    <w:rsid w:val="77F5637A"/>
    <w:rsid w:val="77FB3F92"/>
    <w:rsid w:val="78083DCF"/>
    <w:rsid w:val="780B7492"/>
    <w:rsid w:val="780F1BD2"/>
    <w:rsid w:val="78290C44"/>
    <w:rsid w:val="78574D43"/>
    <w:rsid w:val="785B52D1"/>
    <w:rsid w:val="786A124A"/>
    <w:rsid w:val="786BA8DC"/>
    <w:rsid w:val="787B510B"/>
    <w:rsid w:val="788039DC"/>
    <w:rsid w:val="788830A0"/>
    <w:rsid w:val="788D6FF6"/>
    <w:rsid w:val="78910924"/>
    <w:rsid w:val="78930332"/>
    <w:rsid w:val="78A05A98"/>
    <w:rsid w:val="78A3591C"/>
    <w:rsid w:val="78C352A8"/>
    <w:rsid w:val="78C41F08"/>
    <w:rsid w:val="78C5635F"/>
    <w:rsid w:val="78C9374B"/>
    <w:rsid w:val="78C96A2A"/>
    <w:rsid w:val="78D9682B"/>
    <w:rsid w:val="78DA631E"/>
    <w:rsid w:val="78DC0CB7"/>
    <w:rsid w:val="78E34625"/>
    <w:rsid w:val="78FB2838"/>
    <w:rsid w:val="790A4F61"/>
    <w:rsid w:val="790D5618"/>
    <w:rsid w:val="7910588B"/>
    <w:rsid w:val="791D4B14"/>
    <w:rsid w:val="791D5233"/>
    <w:rsid w:val="792613EA"/>
    <w:rsid w:val="793307C0"/>
    <w:rsid w:val="794048F3"/>
    <w:rsid w:val="795B2F41"/>
    <w:rsid w:val="79613200"/>
    <w:rsid w:val="79626B52"/>
    <w:rsid w:val="796E3777"/>
    <w:rsid w:val="79703A50"/>
    <w:rsid w:val="79711576"/>
    <w:rsid w:val="79770FDE"/>
    <w:rsid w:val="797F4557"/>
    <w:rsid w:val="798F185D"/>
    <w:rsid w:val="79960FDD"/>
    <w:rsid w:val="79991D8E"/>
    <w:rsid w:val="79BB22F4"/>
    <w:rsid w:val="79BB48AD"/>
    <w:rsid w:val="79BD50DA"/>
    <w:rsid w:val="79BDBBC0"/>
    <w:rsid w:val="79C37EFD"/>
    <w:rsid w:val="79D57D57"/>
    <w:rsid w:val="79D7587D"/>
    <w:rsid w:val="79D76317"/>
    <w:rsid w:val="79DF5F0A"/>
    <w:rsid w:val="79E40814"/>
    <w:rsid w:val="79F35DE6"/>
    <w:rsid w:val="79F53B64"/>
    <w:rsid w:val="7A081773"/>
    <w:rsid w:val="7A1F7ECA"/>
    <w:rsid w:val="7A24579D"/>
    <w:rsid w:val="7A344A7E"/>
    <w:rsid w:val="7A395D16"/>
    <w:rsid w:val="7A5B293A"/>
    <w:rsid w:val="7A6B791C"/>
    <w:rsid w:val="7A790E5C"/>
    <w:rsid w:val="7A8A0DB8"/>
    <w:rsid w:val="7AA114BD"/>
    <w:rsid w:val="7AAC08C3"/>
    <w:rsid w:val="7AAE246F"/>
    <w:rsid w:val="7AC43041"/>
    <w:rsid w:val="7ADB6915"/>
    <w:rsid w:val="7ADFAE39"/>
    <w:rsid w:val="7AE33563"/>
    <w:rsid w:val="7AE7699C"/>
    <w:rsid w:val="7AED020F"/>
    <w:rsid w:val="7AED581A"/>
    <w:rsid w:val="7AF8796C"/>
    <w:rsid w:val="7AFB559C"/>
    <w:rsid w:val="7AFD6F0E"/>
    <w:rsid w:val="7B140429"/>
    <w:rsid w:val="7B2B16F3"/>
    <w:rsid w:val="7B333BF2"/>
    <w:rsid w:val="7B4A5B68"/>
    <w:rsid w:val="7B4B2B46"/>
    <w:rsid w:val="7B5FA800"/>
    <w:rsid w:val="7B993C88"/>
    <w:rsid w:val="7BA06143"/>
    <w:rsid w:val="7BAB3D16"/>
    <w:rsid w:val="7BB309E9"/>
    <w:rsid w:val="7BB8348D"/>
    <w:rsid w:val="7BC462D5"/>
    <w:rsid w:val="7BCD865C"/>
    <w:rsid w:val="7BDD48D8"/>
    <w:rsid w:val="7BE35E80"/>
    <w:rsid w:val="7BEC1388"/>
    <w:rsid w:val="7BF5023D"/>
    <w:rsid w:val="7BF7341F"/>
    <w:rsid w:val="7BFA0C7A"/>
    <w:rsid w:val="7BFABA2E"/>
    <w:rsid w:val="7BFD8166"/>
    <w:rsid w:val="7BFFAB5F"/>
    <w:rsid w:val="7BFFBE5E"/>
    <w:rsid w:val="7C02295A"/>
    <w:rsid w:val="7C0B180E"/>
    <w:rsid w:val="7C1958C0"/>
    <w:rsid w:val="7C2625DC"/>
    <w:rsid w:val="7C286D9F"/>
    <w:rsid w:val="7C3B7382"/>
    <w:rsid w:val="7C4450E9"/>
    <w:rsid w:val="7C501917"/>
    <w:rsid w:val="7C723BCA"/>
    <w:rsid w:val="7C8021FC"/>
    <w:rsid w:val="7C9176A1"/>
    <w:rsid w:val="7C936D21"/>
    <w:rsid w:val="7C9521AA"/>
    <w:rsid w:val="7C9D46F4"/>
    <w:rsid w:val="7CA1746F"/>
    <w:rsid w:val="7CBF0890"/>
    <w:rsid w:val="7CC51487"/>
    <w:rsid w:val="7CDFC4FF"/>
    <w:rsid w:val="7CE33FC3"/>
    <w:rsid w:val="7CEFE573"/>
    <w:rsid w:val="7CF13860"/>
    <w:rsid w:val="7CF7109A"/>
    <w:rsid w:val="7CF72967"/>
    <w:rsid w:val="7CF72D58"/>
    <w:rsid w:val="7CFC19BB"/>
    <w:rsid w:val="7CFEA865"/>
    <w:rsid w:val="7D142945"/>
    <w:rsid w:val="7D181C0C"/>
    <w:rsid w:val="7D23793E"/>
    <w:rsid w:val="7D254A84"/>
    <w:rsid w:val="7D312099"/>
    <w:rsid w:val="7D363315"/>
    <w:rsid w:val="7D723DB3"/>
    <w:rsid w:val="7D767AC5"/>
    <w:rsid w:val="7D7929EA"/>
    <w:rsid w:val="7D7F781D"/>
    <w:rsid w:val="7D823D52"/>
    <w:rsid w:val="7D9F3578"/>
    <w:rsid w:val="7DA54E72"/>
    <w:rsid w:val="7DAC69B0"/>
    <w:rsid w:val="7DAF724C"/>
    <w:rsid w:val="7DB52546"/>
    <w:rsid w:val="7DBB1A58"/>
    <w:rsid w:val="7DC223A1"/>
    <w:rsid w:val="7DD00A7F"/>
    <w:rsid w:val="7DD077CC"/>
    <w:rsid w:val="7DD30A52"/>
    <w:rsid w:val="7DD575BE"/>
    <w:rsid w:val="7DE645D8"/>
    <w:rsid w:val="7DE753C1"/>
    <w:rsid w:val="7DE763BD"/>
    <w:rsid w:val="7DF37173"/>
    <w:rsid w:val="7DFA2A02"/>
    <w:rsid w:val="7E087D35"/>
    <w:rsid w:val="7E0E49F3"/>
    <w:rsid w:val="7E281BDC"/>
    <w:rsid w:val="7E2D0162"/>
    <w:rsid w:val="7E2E5840"/>
    <w:rsid w:val="7E362DA7"/>
    <w:rsid w:val="7E482253"/>
    <w:rsid w:val="7E484F9C"/>
    <w:rsid w:val="7E4E417E"/>
    <w:rsid w:val="7E5A082B"/>
    <w:rsid w:val="7E5B725F"/>
    <w:rsid w:val="7E604FC3"/>
    <w:rsid w:val="7E6F4225"/>
    <w:rsid w:val="7E711C50"/>
    <w:rsid w:val="7E730988"/>
    <w:rsid w:val="7E76315A"/>
    <w:rsid w:val="7E7A048A"/>
    <w:rsid w:val="7E7F72D2"/>
    <w:rsid w:val="7E952601"/>
    <w:rsid w:val="7E9A1DF2"/>
    <w:rsid w:val="7E9B7416"/>
    <w:rsid w:val="7E9D2519"/>
    <w:rsid w:val="7E9E2899"/>
    <w:rsid w:val="7E9F0880"/>
    <w:rsid w:val="7EAC2336"/>
    <w:rsid w:val="7EB02B41"/>
    <w:rsid w:val="7EB23269"/>
    <w:rsid w:val="7EBF165C"/>
    <w:rsid w:val="7EC51355"/>
    <w:rsid w:val="7ECFE303"/>
    <w:rsid w:val="7ED029A4"/>
    <w:rsid w:val="7EDC3FFE"/>
    <w:rsid w:val="7EE94270"/>
    <w:rsid w:val="7EEF71C5"/>
    <w:rsid w:val="7EF7ECF7"/>
    <w:rsid w:val="7EFE759D"/>
    <w:rsid w:val="7EFE7949"/>
    <w:rsid w:val="7F045B71"/>
    <w:rsid w:val="7F2420B4"/>
    <w:rsid w:val="7F253C46"/>
    <w:rsid w:val="7F3E69AE"/>
    <w:rsid w:val="7F3F55CF"/>
    <w:rsid w:val="7F4E1EDE"/>
    <w:rsid w:val="7F601682"/>
    <w:rsid w:val="7F625BE9"/>
    <w:rsid w:val="7F7754B8"/>
    <w:rsid w:val="7F7973D7"/>
    <w:rsid w:val="7F7E2133"/>
    <w:rsid w:val="7F7E214A"/>
    <w:rsid w:val="7F7FE396"/>
    <w:rsid w:val="7FA540C7"/>
    <w:rsid w:val="7FA81EFB"/>
    <w:rsid w:val="7FBA7AAC"/>
    <w:rsid w:val="7FBBA65C"/>
    <w:rsid w:val="7FCB1818"/>
    <w:rsid w:val="7FD65ED7"/>
    <w:rsid w:val="7FE02435"/>
    <w:rsid w:val="7FE79D81"/>
    <w:rsid w:val="7FF404A3"/>
    <w:rsid w:val="7FF4717D"/>
    <w:rsid w:val="7FF73220"/>
    <w:rsid w:val="7FFB0E1F"/>
    <w:rsid w:val="7FFD299D"/>
    <w:rsid w:val="7FFFD16D"/>
    <w:rsid w:val="8B936500"/>
    <w:rsid w:val="8BFA1299"/>
    <w:rsid w:val="8EFB8EA5"/>
    <w:rsid w:val="957B6ECE"/>
    <w:rsid w:val="97FF9DB5"/>
    <w:rsid w:val="9BE7253D"/>
    <w:rsid w:val="9E7B6E1D"/>
    <w:rsid w:val="9F97A2C5"/>
    <w:rsid w:val="9FFE36F5"/>
    <w:rsid w:val="AB759125"/>
    <w:rsid w:val="AB88E759"/>
    <w:rsid w:val="ABFF1B07"/>
    <w:rsid w:val="AC3B5F5F"/>
    <w:rsid w:val="ADB7295D"/>
    <w:rsid w:val="AEEBFAF1"/>
    <w:rsid w:val="AFFE12B5"/>
    <w:rsid w:val="B0BF610A"/>
    <w:rsid w:val="B17448FC"/>
    <w:rsid w:val="B79FC462"/>
    <w:rsid w:val="BCB528D0"/>
    <w:rsid w:val="BDF95663"/>
    <w:rsid w:val="BE7F6D38"/>
    <w:rsid w:val="BEBE0140"/>
    <w:rsid w:val="BEC4D3B6"/>
    <w:rsid w:val="BF7B3D2F"/>
    <w:rsid w:val="BFA68D2B"/>
    <w:rsid w:val="BFD4C9C7"/>
    <w:rsid w:val="BFD8A62D"/>
    <w:rsid w:val="BFEAC5FF"/>
    <w:rsid w:val="C7EE81E5"/>
    <w:rsid w:val="CD16F492"/>
    <w:rsid w:val="CDFF1BB4"/>
    <w:rsid w:val="CF97B970"/>
    <w:rsid w:val="CFB34365"/>
    <w:rsid w:val="CFFF2F22"/>
    <w:rsid w:val="D2554B1F"/>
    <w:rsid w:val="D3EFFD60"/>
    <w:rsid w:val="D7874217"/>
    <w:rsid w:val="D7FF5ABE"/>
    <w:rsid w:val="D7FFC093"/>
    <w:rsid w:val="D9EF3531"/>
    <w:rsid w:val="DC7EF7C4"/>
    <w:rsid w:val="DD1DD64C"/>
    <w:rsid w:val="DF338446"/>
    <w:rsid w:val="DF6FE38F"/>
    <w:rsid w:val="DF7E827D"/>
    <w:rsid w:val="E153B7DE"/>
    <w:rsid w:val="EB7D98F9"/>
    <w:rsid w:val="EBF8BFCF"/>
    <w:rsid w:val="EBFD53CE"/>
    <w:rsid w:val="EDF7FD70"/>
    <w:rsid w:val="EEDD373F"/>
    <w:rsid w:val="EF3F7F42"/>
    <w:rsid w:val="EF5D4331"/>
    <w:rsid w:val="EF77197D"/>
    <w:rsid w:val="EF9456C5"/>
    <w:rsid w:val="EF996D35"/>
    <w:rsid w:val="EFFD8319"/>
    <w:rsid w:val="EFFDFC7C"/>
    <w:rsid w:val="F35FBF91"/>
    <w:rsid w:val="F3FDB288"/>
    <w:rsid w:val="F53DBE0C"/>
    <w:rsid w:val="F6F7444E"/>
    <w:rsid w:val="F76FDDB1"/>
    <w:rsid w:val="F77D91DD"/>
    <w:rsid w:val="F7BD2500"/>
    <w:rsid w:val="F7EC5FBC"/>
    <w:rsid w:val="F7F3EB36"/>
    <w:rsid w:val="F7FF2F31"/>
    <w:rsid w:val="F9CB5202"/>
    <w:rsid w:val="FA7BFEB8"/>
    <w:rsid w:val="FB3F6394"/>
    <w:rsid w:val="FB56519C"/>
    <w:rsid w:val="FB7FEB3D"/>
    <w:rsid w:val="FB9F7470"/>
    <w:rsid w:val="FBDFD9D1"/>
    <w:rsid w:val="FBE68F26"/>
    <w:rsid w:val="FBF7ED8B"/>
    <w:rsid w:val="FBFFBAF7"/>
    <w:rsid w:val="FCEA89C4"/>
    <w:rsid w:val="FD46AEEE"/>
    <w:rsid w:val="FD7F110F"/>
    <w:rsid w:val="FDAF9022"/>
    <w:rsid w:val="FDB51DA4"/>
    <w:rsid w:val="FDDF3645"/>
    <w:rsid w:val="FDEB7B4F"/>
    <w:rsid w:val="FE2BC9A9"/>
    <w:rsid w:val="FE69747A"/>
    <w:rsid w:val="FE7E6469"/>
    <w:rsid w:val="FEB7059A"/>
    <w:rsid w:val="FECB7864"/>
    <w:rsid w:val="FEDD2340"/>
    <w:rsid w:val="FEE66429"/>
    <w:rsid w:val="FEEDAF76"/>
    <w:rsid w:val="FF0F2F5C"/>
    <w:rsid w:val="FF66E26D"/>
    <w:rsid w:val="FF6F1F12"/>
    <w:rsid w:val="FF6F4FE1"/>
    <w:rsid w:val="FF7F72DC"/>
    <w:rsid w:val="FFB5654E"/>
    <w:rsid w:val="FFBBE5DC"/>
    <w:rsid w:val="FFBFC24B"/>
    <w:rsid w:val="FFCB1C7E"/>
    <w:rsid w:val="FFEFCDFF"/>
    <w:rsid w:val="FFF449C1"/>
    <w:rsid w:val="FFF55810"/>
    <w:rsid w:val="FFF6586E"/>
    <w:rsid w:val="FFFAC0D4"/>
    <w:rsid w:val="FFFFC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snapToGrid w:val="0"/>
      <w:spacing w:line="579" w:lineRule="exact"/>
      <w:ind w:firstLine="640" w:firstLineChars="200"/>
      <w:jc w:val="both"/>
    </w:pPr>
    <w:rPr>
      <w:rFonts w:ascii="仿宋_GB2312" w:hAnsi="仿宋_GB2312" w:eastAsia="仿宋_GB2312" w:cstheme="minorBidi"/>
      <w:kern w:val="2"/>
      <w:sz w:val="32"/>
      <w:szCs w:val="22"/>
      <w:lang w:val="en-US" w:eastAsia="zh-CN" w:bidi="ar-SA"/>
    </w:rPr>
  </w:style>
  <w:style w:type="paragraph" w:styleId="3">
    <w:name w:val="heading 1"/>
    <w:basedOn w:val="1"/>
    <w:next w:val="1"/>
    <w:link w:val="21"/>
    <w:qFormat/>
    <w:uiPriority w:val="9"/>
    <w:pPr>
      <w:keepNext/>
      <w:keepLines/>
      <w:spacing w:before="0" w:after="0" w:line="560" w:lineRule="exact"/>
      <w:ind w:firstLine="640" w:firstLineChars="200"/>
      <w:outlineLvl w:val="0"/>
    </w:pPr>
    <w:rPr>
      <w:rFonts w:ascii="黑体" w:hAnsi="黑体" w:eastAsia="黑体"/>
      <w:kern w:val="44"/>
      <w:szCs w:val="32"/>
    </w:rPr>
  </w:style>
  <w:style w:type="paragraph" w:styleId="4">
    <w:name w:val="heading 2"/>
    <w:basedOn w:val="1"/>
    <w:next w:val="1"/>
    <w:link w:val="22"/>
    <w:unhideWhenUsed/>
    <w:qFormat/>
    <w:uiPriority w:val="9"/>
    <w:pPr>
      <w:keepNext/>
      <w:keepLines/>
      <w:spacing w:before="0" w:after="0" w:line="579" w:lineRule="exact"/>
      <w:ind w:firstLine="640" w:firstLineChars="200"/>
      <w:outlineLvl w:val="1"/>
    </w:pPr>
    <w:rPr>
      <w:rFonts w:ascii="仿宋_GB2312" w:hAnsi="仿宋_GB2312" w:eastAsia="楷体_GB2312" w:cstheme="majorBidi"/>
      <w:b/>
      <w:bCs/>
      <w:szCs w:val="32"/>
    </w:rPr>
  </w:style>
  <w:style w:type="paragraph" w:styleId="5">
    <w:name w:val="heading 3"/>
    <w:basedOn w:val="1"/>
    <w:next w:val="1"/>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customStyle="1" w:styleId="2">
    <w:name w:val="UserStyle_0"/>
    <w:basedOn w:val="1"/>
    <w:next w:val="1"/>
    <w:qFormat/>
    <w:uiPriority w:val="0"/>
    <w:pPr>
      <w:ind w:firstLine="420" w:firstLineChars="200"/>
      <w:textAlignment w:val="baseline"/>
    </w:pPr>
  </w:style>
  <w:style w:type="paragraph" w:styleId="6">
    <w:name w:val="Body Text"/>
    <w:basedOn w:val="1"/>
    <w:qFormat/>
    <w:uiPriority w:val="0"/>
    <w:pPr>
      <w:jc w:val="center"/>
    </w:pPr>
    <w:rPr>
      <w:rFonts w:ascii="宋体"/>
      <w:sz w:val="44"/>
    </w:rPr>
  </w:style>
  <w:style w:type="paragraph" w:styleId="7">
    <w:name w:val="toc 3"/>
    <w:basedOn w:val="1"/>
    <w:next w:val="1"/>
    <w:unhideWhenUsed/>
    <w:qFormat/>
    <w:uiPriority w:val="39"/>
    <w:pPr>
      <w:widowControl/>
      <w:spacing w:after="100" w:line="259" w:lineRule="auto"/>
      <w:ind w:left="440"/>
      <w:jc w:val="left"/>
    </w:pPr>
    <w:rPr>
      <w:rFonts w:cs="Times New Roman" w:eastAsiaTheme="minorEastAsia"/>
      <w:kern w:val="0"/>
      <w:sz w:val="22"/>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tabs>
        <w:tab w:val="right" w:leader="dot" w:pos="8296"/>
      </w:tabs>
      <w:spacing w:after="100" w:line="259" w:lineRule="auto"/>
      <w:jc w:val="left"/>
    </w:pPr>
    <w:rPr>
      <w:rFonts w:ascii="黑体" w:hAnsi="黑体" w:eastAsia="黑体" w:cs="Times New Roman"/>
      <w:kern w:val="0"/>
      <w:sz w:val="22"/>
    </w:rPr>
  </w:style>
  <w:style w:type="paragraph" w:styleId="11">
    <w:name w:val="footnote text"/>
    <w:basedOn w:val="1"/>
    <w:unhideWhenUsed/>
    <w:qFormat/>
    <w:uiPriority w:val="99"/>
    <w:pPr>
      <w:snapToGrid w:val="0"/>
      <w:jc w:val="left"/>
    </w:pPr>
    <w:rPr>
      <w:sz w:val="18"/>
    </w:rPr>
  </w:style>
  <w:style w:type="paragraph" w:styleId="12">
    <w:name w:val="toc 2"/>
    <w:basedOn w:val="1"/>
    <w:next w:val="1"/>
    <w:unhideWhenUsed/>
    <w:qFormat/>
    <w:uiPriority w:val="39"/>
    <w:pPr>
      <w:widowControl/>
      <w:spacing w:after="100" w:line="259" w:lineRule="auto"/>
      <w:ind w:left="220"/>
      <w:jc w:val="left"/>
    </w:pPr>
    <w:rPr>
      <w:rFonts w:cs="Times New Roman" w:eastAsiaTheme="minorEastAsia"/>
      <w:kern w:val="0"/>
      <w:sz w:val="22"/>
    </w:rPr>
  </w:style>
  <w:style w:type="paragraph" w:styleId="13">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Emphasis"/>
    <w:basedOn w:val="16"/>
    <w:qFormat/>
    <w:uiPriority w:val="20"/>
    <w:rPr>
      <w:i/>
    </w:rPr>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styleId="20">
    <w:name w:val="footnote reference"/>
    <w:basedOn w:val="16"/>
    <w:unhideWhenUsed/>
    <w:qFormat/>
    <w:uiPriority w:val="99"/>
    <w:rPr>
      <w:vertAlign w:val="superscript"/>
    </w:rPr>
  </w:style>
  <w:style w:type="character" w:customStyle="1" w:styleId="21">
    <w:name w:val="标题 1 字符"/>
    <w:basedOn w:val="16"/>
    <w:link w:val="3"/>
    <w:qFormat/>
    <w:uiPriority w:val="9"/>
    <w:rPr>
      <w:rFonts w:ascii="黑体" w:hAnsi="黑体" w:eastAsia="黑体"/>
      <w:kern w:val="44"/>
      <w:sz w:val="32"/>
      <w:szCs w:val="32"/>
    </w:rPr>
  </w:style>
  <w:style w:type="character" w:customStyle="1" w:styleId="22">
    <w:name w:val="标题 2 字符"/>
    <w:basedOn w:val="16"/>
    <w:link w:val="4"/>
    <w:semiHidden/>
    <w:qFormat/>
    <w:uiPriority w:val="9"/>
    <w:rPr>
      <w:rFonts w:ascii="仿宋_GB2312" w:hAnsi="仿宋_GB2312" w:eastAsia="楷体_GB2312" w:cstheme="majorBidi"/>
      <w:b/>
      <w:bCs/>
      <w:sz w:val="32"/>
      <w:szCs w:val="32"/>
    </w:rPr>
  </w:style>
  <w:style w:type="paragraph" w:customStyle="1" w:styleId="23">
    <w:name w:val="TOC 标题1"/>
    <w:basedOn w:val="3"/>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color w:val="2F5597" w:themeColor="accent1" w:themeShade="BF"/>
      <w:kern w:val="0"/>
    </w:rPr>
  </w:style>
  <w:style w:type="character" w:customStyle="1" w:styleId="24">
    <w:name w:val="页眉 字符"/>
    <w:basedOn w:val="16"/>
    <w:link w:val="9"/>
    <w:qFormat/>
    <w:uiPriority w:val="99"/>
    <w:rPr>
      <w:rFonts w:eastAsia="仿宋_GB2312"/>
      <w:sz w:val="18"/>
      <w:szCs w:val="18"/>
    </w:rPr>
  </w:style>
  <w:style w:type="character" w:customStyle="1" w:styleId="25">
    <w:name w:val="页脚 字符"/>
    <w:basedOn w:val="16"/>
    <w:link w:val="8"/>
    <w:qFormat/>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16392</Words>
  <Characters>16730</Characters>
  <Lines>102</Lines>
  <Paragraphs>28</Paragraphs>
  <TotalTime>22</TotalTime>
  <ScaleCrop>false</ScaleCrop>
  <LinksUpToDate>false</LinksUpToDate>
  <CharactersWithSpaces>16795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2021-12-16T17:12:00Z</dcterms:created>
  <dc:creator>薛冰</dc:creator>
  <cp:lastModifiedBy>x</cp:lastModifiedBy>
  <dcterms:modified xsi:type="dcterms:W3CDTF">2022-09-15T14:37:02Z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8F183961FE2E4C488025E4E74832786E</vt:lpwstr>
  </property>
</Properties>
</file>