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widowControl/>
        <w:rPr>
          <w:rFonts w:ascii="方正小标宋简体" w:hAnsi="黑体" w:eastAsia="方正小标宋简体" w:cs="Times New Roman"/>
          <w:color w:val="000000" w:themeColor="text1"/>
          <w:kern w:val="0"/>
          <w:sz w:val="56"/>
          <w:szCs w:val="56"/>
          <w14:textFill>
            <w14:solidFill>
              <w14:schemeClr w14:val="tx1"/>
            </w14:solidFill>
          </w14:textFill>
        </w:rPr>
      </w:pPr>
    </w:p>
    <w:p>
      <w:pPr>
        <w:widowControl/>
        <w:jc w:val="center"/>
        <w:rPr>
          <w:rFonts w:ascii="方正小标宋简体" w:hAnsi="黑体" w:eastAsia="方正小标宋简体" w:cs="Times New Roman"/>
          <w:color w:val="000000" w:themeColor="text1"/>
          <w:kern w:val="0"/>
          <w:sz w:val="60"/>
          <w:szCs w:val="60"/>
          <w14:textFill>
            <w14:solidFill>
              <w14:schemeClr w14:val="tx1"/>
            </w14:solidFill>
          </w14:textFill>
        </w:rPr>
      </w:pPr>
      <w:r>
        <w:rPr>
          <w:rFonts w:hint="eastAsia" w:ascii="黑体" w:hAnsi="黑体" w:eastAsia="黑体" w:cs="黑体"/>
          <w:b/>
          <w:bCs/>
          <w:sz w:val="56"/>
          <w:szCs w:val="56"/>
          <w:lang w:val="en-US" w:eastAsia="zh-CN"/>
        </w:rPr>
        <w:t>2019年深圳市社会性别统计报告</w:t>
      </w:r>
    </w:p>
    <w:p>
      <w:pPr>
        <w:widowControl/>
        <w:jc w:val="left"/>
        <w:rPr>
          <w:rFonts w:ascii="方正小标宋简体" w:hAnsi="黑体" w:eastAsia="方正小标宋简体" w:cs="Times New Roman"/>
          <w:color w:val="000000" w:themeColor="text1"/>
          <w:kern w:val="0"/>
          <w:sz w:val="60"/>
          <w:szCs w:val="60"/>
          <w14:textFill>
            <w14:solidFill>
              <w14:schemeClr w14:val="tx1"/>
            </w14:solidFill>
          </w14:textFill>
        </w:rPr>
      </w:pPr>
    </w:p>
    <w:p>
      <w:pPr>
        <w:widowControl/>
        <w:jc w:val="left"/>
        <w:rPr>
          <w:rFonts w:ascii="方正小标宋简体" w:hAnsi="黑体" w:eastAsia="方正小标宋简体" w:cs="Times New Roman"/>
          <w:color w:val="000000" w:themeColor="text1"/>
          <w:kern w:val="0"/>
          <w:sz w:val="60"/>
          <w:szCs w:val="60"/>
          <w14:textFill>
            <w14:solidFill>
              <w14:schemeClr w14:val="tx1"/>
            </w14:solidFill>
          </w14:textFill>
        </w:rPr>
      </w:pPr>
    </w:p>
    <w:p>
      <w:pPr>
        <w:widowControl/>
        <w:jc w:val="left"/>
        <w:rPr>
          <w:rFonts w:ascii="方正小标宋简体" w:hAnsi="黑体" w:eastAsia="方正小标宋简体" w:cs="Times New Roman"/>
          <w:color w:val="000000" w:themeColor="text1"/>
          <w:kern w:val="0"/>
          <w:sz w:val="60"/>
          <w:szCs w:val="60"/>
          <w14:textFill>
            <w14:solidFill>
              <w14:schemeClr w14:val="tx1"/>
            </w14:solidFill>
          </w14:textFill>
        </w:rPr>
      </w:pPr>
    </w:p>
    <w:p>
      <w:pPr>
        <w:widowControl/>
        <w:jc w:val="left"/>
        <w:rPr>
          <w:rFonts w:ascii="方正小标宋简体" w:hAnsi="黑体" w:eastAsia="方正小标宋简体" w:cs="Times New Roman"/>
          <w:color w:val="000000" w:themeColor="text1"/>
          <w:kern w:val="0"/>
          <w:sz w:val="60"/>
          <w:szCs w:val="60"/>
          <w14:textFill>
            <w14:solidFill>
              <w14:schemeClr w14:val="tx1"/>
            </w14:solidFill>
          </w14:textFill>
        </w:rPr>
      </w:pPr>
    </w:p>
    <w:p>
      <w:pPr>
        <w:widowControl/>
        <w:jc w:val="left"/>
        <w:rPr>
          <w:rFonts w:ascii="方正小标宋简体" w:hAnsi="黑体" w:eastAsia="方正小标宋简体" w:cs="Times New Roman"/>
          <w:color w:val="000000" w:themeColor="text1"/>
          <w:kern w:val="0"/>
          <w:sz w:val="60"/>
          <w:szCs w:val="60"/>
          <w14:textFill>
            <w14:solidFill>
              <w14:schemeClr w14:val="tx1"/>
            </w14:solidFill>
          </w14:textFill>
        </w:rPr>
      </w:pPr>
    </w:p>
    <w:p>
      <w:pPr>
        <w:widowControl/>
        <w:jc w:val="left"/>
        <w:rPr>
          <w:rFonts w:ascii="方正小标宋简体" w:hAnsi="黑体" w:eastAsia="方正小标宋简体" w:cs="Times New Roman"/>
          <w:color w:val="000000" w:themeColor="text1"/>
          <w:kern w:val="0"/>
          <w:sz w:val="60"/>
          <w:szCs w:val="60"/>
          <w14:textFill>
            <w14:solidFill>
              <w14:schemeClr w14:val="tx1"/>
            </w14:solidFill>
          </w14:textFill>
        </w:rPr>
      </w:pPr>
    </w:p>
    <w:tbl>
      <w:tblPr>
        <w:tblStyle w:val="9"/>
        <w:tblpPr w:leftFromText="180" w:rightFromText="180" w:vertAnchor="text" w:horzAnchor="page" w:tblpX="1930" w:tblpY="424"/>
        <w:tblOverlap w:val="never"/>
        <w:tblW w:w="8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8140"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rPr>
                <w:rFonts w:hint="default" w:ascii="黑体" w:hAnsi="黑体" w:eastAsia="黑体" w:cs="黑体"/>
                <w:sz w:val="32"/>
              </w:rPr>
            </w:pPr>
            <w:r>
              <w:rPr>
                <w:rFonts w:hint="eastAsia" w:ascii="黑体" w:hAnsi="黑体" w:eastAsia="黑体" w:cs="黑体"/>
                <w:color w:val="000000" w:themeColor="text1"/>
                <w:sz w:val="32"/>
                <w14:textFill>
                  <w14:solidFill>
                    <w14:schemeClr w14:val="tx1"/>
                  </w14:solidFill>
                </w14:textFill>
              </w:rPr>
              <w:t>深圳市</w:t>
            </w:r>
            <w:r>
              <w:rPr>
                <w:rFonts w:hint="eastAsia" w:ascii="黑体" w:hAnsi="黑体" w:eastAsia="黑体" w:cs="黑体"/>
                <w:color w:val="000000" w:themeColor="text1"/>
                <w:sz w:val="32"/>
                <w:lang w:val="en-US" w:eastAsia="zh-CN"/>
                <w14:textFill>
                  <w14:solidFill>
                    <w14:schemeClr w14:val="tx1"/>
                  </w14:solidFill>
                </w14:textFill>
              </w:rPr>
              <w:t>统计</w:t>
            </w:r>
            <w:r>
              <w:rPr>
                <w:rFonts w:hint="eastAsia" w:ascii="黑体" w:hAnsi="黑体" w:eastAsia="黑体" w:cs="黑体"/>
                <w:color w:val="000000" w:themeColor="text1"/>
                <w:sz w:val="32"/>
                <w14:textFill>
                  <w14:solidFill>
                    <w14:schemeClr w14:val="tx1"/>
                  </w14:solidFill>
                </w14:textFill>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8140"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rPr>
                <w:rFonts w:hint="eastAsia"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深圳市妇女儿童工作委员会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8140"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rPr>
                <w:rFonts w:hint="default" w:ascii="黑体" w:hAnsi="黑体" w:eastAsia="黑体" w:cs="黑体"/>
                <w:sz w:val="32"/>
              </w:rPr>
            </w:pPr>
            <w:r>
              <w:rPr>
                <w:rFonts w:hint="eastAsia" w:ascii="黑体" w:hAnsi="黑体" w:eastAsia="黑体" w:cs="黑体"/>
                <w:color w:val="000000" w:themeColor="text1"/>
                <w:sz w:val="32"/>
                <w14:textFill>
                  <w14:solidFill>
                    <w14:schemeClr w14:val="tx1"/>
                  </w14:solidFill>
                </w14:textFill>
              </w:rPr>
              <w:t>深圳市性别平等促进办公室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8140"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rPr>
                <w:rFonts w:hint="default"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二〇二〇年</w:t>
            </w:r>
            <w:r>
              <w:rPr>
                <w:rFonts w:hint="eastAsia" w:ascii="黑体" w:hAnsi="黑体" w:eastAsia="黑体" w:cs="黑体"/>
                <w:color w:val="auto"/>
                <w:sz w:val="32"/>
                <w:lang w:val="en-US" w:eastAsia="zh-CN"/>
              </w:rPr>
              <w:t>十二</w:t>
            </w:r>
            <w:r>
              <w:rPr>
                <w:rFonts w:hint="eastAsia" w:ascii="黑体" w:hAnsi="黑体" w:eastAsia="黑体" w:cs="黑体"/>
                <w:color w:val="000000" w:themeColor="text1"/>
                <w:sz w:val="32"/>
                <w14:textFill>
                  <w14:solidFill>
                    <w14:schemeClr w14:val="tx1"/>
                  </w14:solidFill>
                </w14:textFill>
              </w:rPr>
              <w:t>月</w:t>
            </w:r>
          </w:p>
        </w:tc>
      </w:tr>
    </w:tbl>
    <w:p>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pPr>
        <w:snapToGrid/>
        <w:spacing w:before="156" w:beforeLines="50" w:after="156" w:afterLines="50" w:line="580" w:lineRule="exact"/>
        <w:jc w:val="center"/>
        <w:rPr>
          <w:rFonts w:hint="eastAsia" w:ascii="黑体" w:hAnsi="黑体" w:eastAsia="黑体" w:cs="黑体"/>
          <w:sz w:val="36"/>
          <w:szCs w:val="36"/>
        </w:rPr>
      </w:pPr>
      <w:r>
        <w:rPr>
          <w:rFonts w:hint="eastAsia" w:ascii="黑体" w:hAnsi="黑体" w:eastAsia="黑体" w:cs="黑体"/>
          <w:b/>
          <w:bCs/>
          <w:sz w:val="36"/>
          <w:szCs w:val="36"/>
        </w:rPr>
        <w:t>1 人口特征</w:t>
      </w:r>
    </w:p>
    <w:p>
      <w:pPr>
        <w:jc w:val="center"/>
        <w:rPr>
          <w:rFonts w:hint="eastAsia" w:ascii="黑体" w:hAnsi="黑体" w:eastAsia="黑体" w:cs="黑体"/>
          <w:color w:val="000000" w:themeColor="text1"/>
          <w:sz w:val="32"/>
          <w:szCs w:val="32"/>
          <w14:textFill>
            <w14:solidFill>
              <w14:schemeClr w14:val="tx1"/>
            </w14:solidFill>
          </w14:textFill>
        </w:rPr>
      </w:pPr>
    </w:p>
    <w:p>
      <w:pPr>
        <w:widowControl/>
        <w:snapToGrid/>
        <w:spacing w:before="0" w:after="0" w:line="560" w:lineRule="exact"/>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人口规模与性别比</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2019年，深圳市常住人口1343.88万人，其中男性730.88万人，占全市人口的54.4%；女性613.00万人，占全市人口的45.6%，常住人口性别比</w:t>
      </w:r>
      <w:r>
        <w:rPr>
          <w:rFonts w:hint="eastAsia" w:ascii="仿宋_GB2312" w:hAnsi="仿宋_GB2312" w:eastAsia="仿宋_GB2312" w:cs="仿宋_GB2312"/>
          <w:bCs/>
          <w:color w:val="000000"/>
          <w:sz w:val="32"/>
          <w:szCs w:val="32"/>
          <w:vertAlign w:val="superscript"/>
          <w:lang w:val="en-US" w:eastAsia="zh-CN"/>
        </w:rPr>
        <w:footnoteReference w:id="0"/>
      </w:r>
      <w:r>
        <w:rPr>
          <w:rFonts w:hint="eastAsia" w:ascii="仿宋_GB2312" w:hAnsi="仿宋_GB2312" w:eastAsia="仿宋_GB2312" w:cs="仿宋_GB2312"/>
          <w:bCs/>
          <w:color w:val="000000"/>
          <w:sz w:val="32"/>
          <w:szCs w:val="32"/>
          <w:lang w:val="en-US" w:eastAsia="zh-CN"/>
        </w:rPr>
        <w:t>为119.23。</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2019年，深圳市各区（新区）常住人口情况如下:</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p>
    <w:p>
      <w:pPr>
        <w:widowControl/>
        <w:snapToGrid/>
        <w:spacing w:before="0" w:after="0" w:line="560" w:lineRule="exact"/>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表1</w:t>
      </w:r>
    </w:p>
    <w:p>
      <w:pPr>
        <w:widowControl/>
        <w:snapToGrid/>
        <w:spacing w:before="0" w:after="0" w:line="560" w:lineRule="exact"/>
        <w:jc w:val="center"/>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2019年深圳市各区（新区）常住人口情况</w:t>
      </w:r>
    </w:p>
    <w:tbl>
      <w:tblPr>
        <w:tblStyle w:val="9"/>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886"/>
        <w:gridCol w:w="848"/>
        <w:gridCol w:w="743"/>
        <w:gridCol w:w="848"/>
        <w:gridCol w:w="848"/>
        <w:gridCol w:w="848"/>
        <w:gridCol w:w="848"/>
        <w:gridCol w:w="743"/>
        <w:gridCol w:w="743"/>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180"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86" w:type="dxa"/>
            <w:tcBorders>
              <w:left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福田</w:t>
            </w:r>
          </w:p>
        </w:tc>
        <w:tc>
          <w:tcPr>
            <w:tcW w:w="848"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罗湖</w:t>
            </w:r>
          </w:p>
        </w:tc>
        <w:tc>
          <w:tcPr>
            <w:tcW w:w="743"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盐田</w:t>
            </w:r>
          </w:p>
        </w:tc>
        <w:tc>
          <w:tcPr>
            <w:tcW w:w="848"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南山</w:t>
            </w:r>
          </w:p>
        </w:tc>
        <w:tc>
          <w:tcPr>
            <w:tcW w:w="848"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宝安</w:t>
            </w:r>
          </w:p>
        </w:tc>
        <w:tc>
          <w:tcPr>
            <w:tcW w:w="848"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龙岗</w:t>
            </w:r>
          </w:p>
        </w:tc>
        <w:tc>
          <w:tcPr>
            <w:tcW w:w="848"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龙华</w:t>
            </w:r>
          </w:p>
        </w:tc>
        <w:tc>
          <w:tcPr>
            <w:tcW w:w="743"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坪山</w:t>
            </w:r>
          </w:p>
        </w:tc>
        <w:tc>
          <w:tcPr>
            <w:tcW w:w="743"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光明</w:t>
            </w:r>
          </w:p>
        </w:tc>
        <w:tc>
          <w:tcPr>
            <w:tcW w:w="743"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180" w:type="dxa"/>
            <w:tcBorders>
              <w:left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常住人口</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（万人）</w:t>
            </w:r>
          </w:p>
        </w:tc>
        <w:tc>
          <w:tcPr>
            <w:tcW w:w="886"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166.29</w:t>
            </w:r>
          </w:p>
        </w:tc>
        <w:tc>
          <w:tcPr>
            <w:tcW w:w="848"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105.66</w:t>
            </w:r>
          </w:p>
        </w:tc>
        <w:tc>
          <w:tcPr>
            <w:tcW w:w="743"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24.</w:t>
            </w:r>
            <w:r>
              <w:rPr>
                <w:rFonts w:hint="eastAsia" w:ascii="仿宋" w:hAnsi="仿宋" w:eastAsia="仿宋" w:cs="仿宋"/>
                <w:color w:val="000000" w:themeColor="text1"/>
                <w:sz w:val="21"/>
                <w:szCs w:val="21"/>
                <w:lang w:val="en-US" w:eastAsia="zh-CN"/>
                <w14:textFill>
                  <w14:solidFill>
                    <w14:schemeClr w14:val="tx1"/>
                  </w14:solidFill>
                </w14:textFill>
              </w:rPr>
              <w:t>36</w:t>
            </w:r>
          </w:p>
        </w:tc>
        <w:tc>
          <w:tcPr>
            <w:tcW w:w="848"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154.58</w:t>
            </w:r>
          </w:p>
        </w:tc>
        <w:tc>
          <w:tcPr>
            <w:tcW w:w="848"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334.25</w:t>
            </w:r>
          </w:p>
        </w:tc>
        <w:tc>
          <w:tcPr>
            <w:tcW w:w="848"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250.86</w:t>
            </w:r>
          </w:p>
        </w:tc>
        <w:tc>
          <w:tcPr>
            <w:tcW w:w="848"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170.63</w:t>
            </w:r>
          </w:p>
        </w:tc>
        <w:tc>
          <w:tcPr>
            <w:tcW w:w="743" w:type="dxa"/>
            <w:tcBorders>
              <w:left w:val="nil"/>
              <w:right w:val="nil"/>
            </w:tcBorders>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46.30</w:t>
            </w:r>
          </w:p>
        </w:tc>
        <w:tc>
          <w:tcPr>
            <w:tcW w:w="743" w:type="dxa"/>
            <w:tcBorders>
              <w:left w:val="nil"/>
              <w:right w:val="nil"/>
            </w:tcBorders>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65.80</w:t>
            </w:r>
          </w:p>
        </w:tc>
        <w:tc>
          <w:tcPr>
            <w:tcW w:w="743" w:type="dxa"/>
            <w:tcBorders>
              <w:left w:val="nil"/>
              <w:right w:val="nil"/>
            </w:tcBorders>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w:t>
            </w:r>
            <w:r>
              <w:rPr>
                <w:rFonts w:hint="eastAsia" w:ascii="仿宋" w:hAnsi="仿宋" w:eastAsia="仿宋" w:cs="仿宋"/>
                <w:color w:val="000000" w:themeColor="text1"/>
                <w:sz w:val="21"/>
                <w:szCs w:val="21"/>
                <w:lang w:val="en-US" w:eastAsia="zh-CN"/>
                <w14:textFill>
                  <w14:solidFill>
                    <w14:schemeClr w14:val="tx1"/>
                  </w14:solidFill>
                </w14:textFill>
              </w:rPr>
              <w:t>82</w:t>
            </w:r>
          </w:p>
        </w:tc>
      </w:tr>
    </w:tbl>
    <w:p>
      <w:pPr>
        <w:spacing w:line="320" w:lineRule="exact"/>
        <w:rPr>
          <w:color w:val="000000" w:themeColor="text1"/>
          <w:sz w:val="32"/>
          <w:szCs w:val="32"/>
          <w14:textFill>
            <w14:solidFill>
              <w14:schemeClr w14:val="tx1"/>
            </w14:solidFill>
          </w14:textFill>
        </w:rPr>
      </w:pP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2019年，深圳市户籍人口550.71万人，其中男性274.92万人，占全市户籍人口的49.9%；女性275.79万人，占全市户籍人口的50.1%，户籍人口性别比为99.68。</w:t>
      </w: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2019年，深圳市各区（新区）户籍人口及其性别比情况如下:</w:t>
      </w: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p>
    <w:p>
      <w:pPr>
        <w:widowControl/>
        <w:snapToGrid/>
        <w:spacing w:before="0" w:after="0" w:line="240" w:lineRule="auto"/>
        <w:textAlignment w:val="auto"/>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br w:type="page"/>
      </w:r>
    </w:p>
    <w:p>
      <w:pPr>
        <w:widowControl/>
        <w:snapToGrid/>
        <w:spacing w:before="0" w:after="0" w:line="560" w:lineRule="exact"/>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表2</w:t>
      </w:r>
    </w:p>
    <w:p>
      <w:pPr>
        <w:widowControl/>
        <w:snapToGrid/>
        <w:spacing w:before="0" w:after="0" w:line="560" w:lineRule="exact"/>
        <w:jc w:val="center"/>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2019年深圳市各区（新区）户籍人口及其性别比情况</w:t>
      </w:r>
    </w:p>
    <w:tbl>
      <w:tblPr>
        <w:tblStyle w:val="9"/>
        <w:tblW w:w="8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748"/>
        <w:gridCol w:w="1483"/>
        <w:gridCol w:w="1525"/>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328"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748"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户籍人口</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（万人）</w:t>
            </w:r>
          </w:p>
        </w:tc>
        <w:tc>
          <w:tcPr>
            <w:tcW w:w="1483"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男性</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(万人)</w:t>
            </w:r>
          </w:p>
        </w:tc>
        <w:tc>
          <w:tcPr>
            <w:tcW w:w="1525"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女性</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（万人）</w:t>
            </w:r>
          </w:p>
        </w:tc>
        <w:tc>
          <w:tcPr>
            <w:tcW w:w="2052"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户籍人口性别比（女=100）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328"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福田区</w:t>
            </w:r>
          </w:p>
        </w:tc>
        <w:tc>
          <w:tcPr>
            <w:tcW w:w="1748"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121.02</w:t>
            </w:r>
          </w:p>
        </w:tc>
        <w:tc>
          <w:tcPr>
            <w:tcW w:w="1483"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58.99</w:t>
            </w:r>
          </w:p>
        </w:tc>
        <w:tc>
          <w:tcPr>
            <w:tcW w:w="1525"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62.03</w:t>
            </w:r>
          </w:p>
        </w:tc>
        <w:tc>
          <w:tcPr>
            <w:tcW w:w="2052"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95.10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罗湖区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70.16</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34.34</w:t>
            </w:r>
          </w:p>
        </w:tc>
        <w:tc>
          <w:tcPr>
            <w:tcW w:w="152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35.82</w:t>
            </w:r>
          </w:p>
        </w:tc>
        <w:tc>
          <w:tcPr>
            <w:tcW w:w="205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盐田区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9.03</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4.46</w:t>
            </w:r>
          </w:p>
        </w:tc>
        <w:tc>
          <w:tcPr>
            <w:tcW w:w="152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4.57</w:t>
            </w:r>
          </w:p>
        </w:tc>
        <w:tc>
          <w:tcPr>
            <w:tcW w:w="205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南山区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110.76</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57.26</w:t>
            </w:r>
          </w:p>
        </w:tc>
        <w:tc>
          <w:tcPr>
            <w:tcW w:w="1525" w:type="dxa"/>
            <w:tcBorders>
              <w:top w:val="nil"/>
              <w:left w:val="nil"/>
              <w:bottom w:val="nil"/>
              <w:right w:val="nil"/>
            </w:tcBorders>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53.50</w:t>
            </w:r>
          </w:p>
        </w:tc>
        <w:tc>
          <w:tcPr>
            <w:tcW w:w="205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宝安区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73.57</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36.84</w:t>
            </w:r>
          </w:p>
        </w:tc>
        <w:tc>
          <w:tcPr>
            <w:tcW w:w="152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36.73</w:t>
            </w:r>
          </w:p>
        </w:tc>
        <w:tc>
          <w:tcPr>
            <w:tcW w:w="205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100.30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龙岗区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94.71</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47.21</w:t>
            </w:r>
          </w:p>
        </w:tc>
        <w:tc>
          <w:tcPr>
            <w:tcW w:w="1525" w:type="dxa"/>
            <w:tcBorders>
              <w:top w:val="nil"/>
              <w:left w:val="nil"/>
              <w:bottom w:val="nil"/>
              <w:right w:val="nil"/>
            </w:tcBorders>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47.50</w:t>
            </w:r>
          </w:p>
        </w:tc>
        <w:tc>
          <w:tcPr>
            <w:tcW w:w="2052" w:type="dxa"/>
            <w:tcBorders>
              <w:top w:val="nil"/>
              <w:left w:val="nil"/>
              <w:bottom w:val="nil"/>
              <w:right w:val="nil"/>
            </w:tcBorders>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龙华区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46.22</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23.03</w:t>
            </w:r>
          </w:p>
        </w:tc>
        <w:tc>
          <w:tcPr>
            <w:tcW w:w="152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23.19</w:t>
            </w:r>
          </w:p>
        </w:tc>
        <w:tc>
          <w:tcPr>
            <w:tcW w:w="205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坪山区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10.35</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5.27</w:t>
            </w:r>
          </w:p>
        </w:tc>
        <w:tc>
          <w:tcPr>
            <w:tcW w:w="152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5.08</w:t>
            </w:r>
          </w:p>
        </w:tc>
        <w:tc>
          <w:tcPr>
            <w:tcW w:w="205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28"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光明区</w:t>
            </w:r>
          </w:p>
        </w:tc>
        <w:tc>
          <w:tcPr>
            <w:tcW w:w="1748"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10.39</w:t>
            </w:r>
          </w:p>
        </w:tc>
        <w:tc>
          <w:tcPr>
            <w:tcW w:w="148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5.18</w:t>
            </w:r>
          </w:p>
        </w:tc>
        <w:tc>
          <w:tcPr>
            <w:tcW w:w="152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5.21</w:t>
            </w:r>
          </w:p>
        </w:tc>
        <w:tc>
          <w:tcPr>
            <w:tcW w:w="205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328"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大鹏新区</w:t>
            </w:r>
          </w:p>
        </w:tc>
        <w:tc>
          <w:tcPr>
            <w:tcW w:w="1748"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4.48</w:t>
            </w:r>
          </w:p>
        </w:tc>
        <w:tc>
          <w:tcPr>
            <w:tcW w:w="1483"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2.31</w:t>
            </w:r>
          </w:p>
        </w:tc>
        <w:tc>
          <w:tcPr>
            <w:tcW w:w="1525"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2.17</w:t>
            </w:r>
          </w:p>
        </w:tc>
        <w:tc>
          <w:tcPr>
            <w:tcW w:w="2052"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106.45</w:t>
            </w:r>
          </w:p>
        </w:tc>
      </w:tr>
    </w:tbl>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2019年，深圳市户籍迁入人口中男性19.08万人，女性22.54万人，户籍迁入人口性别比为84.65。户籍迁出人口中男性1.63万人，女性1.19万人，户籍迁出人口性别比为136.97。</w:t>
      </w: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2019年，深圳市人口出生率为14.5‰，人口死亡率为0.9‰；出生人口性别比为112.80。</w:t>
      </w: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2019年，深圳市0-17岁常住人口209.54万人。</w:t>
      </w: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2019年，深圳市0-17岁户籍人口143.87万人。2019年，深圳市0-17岁不同年龄组户籍儿童数及其性别比如下：</w:t>
      </w:r>
    </w:p>
    <w:p>
      <w:pPr>
        <w:widowControl/>
        <w:snapToGrid/>
        <w:spacing w:before="0" w:after="0" w:line="560" w:lineRule="exact"/>
        <w:ind w:firstLine="640" w:firstLineChars="200"/>
        <w:textAlignment w:val="center"/>
        <w:rPr>
          <w:rFonts w:hint="eastAsia" w:ascii="仿宋_GB2312" w:hAnsi="仿宋_GB2312" w:eastAsia="仿宋"/>
          <w:sz w:val="32"/>
          <w:szCs w:val="32"/>
          <w:lang w:val="en-US" w:eastAsia="zh-CN"/>
        </w:rPr>
      </w:pPr>
    </w:p>
    <w:p>
      <w:pPr>
        <w:widowControl/>
        <w:snapToGrid/>
        <w:spacing w:before="0" w:after="0" w:line="560" w:lineRule="exact"/>
        <w:ind w:firstLine="0" w:firstLineChars="0"/>
        <w:textAlignment w:val="center"/>
        <w:rPr>
          <w:rFonts w:hint="eastAsia" w:ascii="仿宋_GB2312" w:hAnsi="仿宋_GB2312" w:eastAsia="仿宋"/>
          <w:sz w:val="32"/>
          <w:szCs w:val="32"/>
          <w:lang w:val="en-US" w:eastAsia="zh-CN"/>
        </w:rPr>
      </w:pPr>
    </w:p>
    <w:p>
      <w:pPr>
        <w:widowControl/>
        <w:snapToGrid/>
        <w:spacing w:before="0" w:after="0" w:line="560" w:lineRule="exact"/>
        <w:textAlignment w:val="center"/>
        <w:rPr>
          <w:rFonts w:hint="eastAsia" w:ascii="仿宋_GB2312" w:hAnsi="仿宋_GB2312" w:eastAsia="仿宋"/>
          <w:sz w:val="32"/>
          <w:szCs w:val="32"/>
          <w:lang w:val="en-US" w:eastAsia="zh-CN"/>
        </w:rPr>
      </w:pPr>
      <w:r>
        <w:rPr>
          <w:rFonts w:hint="eastAsia" w:ascii="仿宋_GB2312" w:hAnsi="仿宋_GB2312" w:eastAsia="仿宋"/>
          <w:sz w:val="32"/>
          <w:szCs w:val="32"/>
          <w:lang w:val="en-US" w:eastAsia="zh-CN"/>
        </w:rPr>
        <w:t>表3</w:t>
      </w:r>
    </w:p>
    <w:p>
      <w:pPr>
        <w:widowControl/>
        <w:snapToGrid/>
        <w:spacing w:before="0" w:after="0" w:line="560" w:lineRule="exact"/>
        <w:jc w:val="center"/>
        <w:textAlignment w:val="center"/>
        <w:rPr>
          <w:rFonts w:hint="eastAsia" w:ascii="仿宋_GB2312" w:hAnsi="仿宋_GB2312" w:eastAsia="仿宋_GB2312" w:cs="仿宋_GB2312"/>
          <w:b/>
          <w:bCs w:val="0"/>
          <w:color w:val="000000"/>
          <w:w w:val="90"/>
          <w:sz w:val="32"/>
          <w:szCs w:val="32"/>
          <w:lang w:val="en-US" w:eastAsia="zh-CN"/>
        </w:rPr>
      </w:pPr>
      <w:r>
        <w:rPr>
          <w:rFonts w:hint="eastAsia" w:ascii="仿宋_GB2312" w:hAnsi="仿宋_GB2312" w:eastAsia="仿宋_GB2312" w:cs="仿宋_GB2312"/>
          <w:b/>
          <w:bCs w:val="0"/>
          <w:color w:val="000000"/>
          <w:w w:val="90"/>
          <w:sz w:val="32"/>
          <w:szCs w:val="32"/>
          <w:lang w:val="en-US" w:eastAsia="zh-CN"/>
        </w:rPr>
        <w:t>2019年深圳市0-17岁不同年龄组户籍儿童数及其性别比情况</w:t>
      </w:r>
    </w:p>
    <w:tbl>
      <w:tblPr>
        <w:tblStyle w:val="9"/>
        <w:tblW w:w="8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022"/>
        <w:gridCol w:w="3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889"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年龄组</w:t>
            </w:r>
          </w:p>
        </w:tc>
        <w:tc>
          <w:tcPr>
            <w:tcW w:w="3022"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不同年龄组户籍儿童</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（万人）</w:t>
            </w:r>
          </w:p>
        </w:tc>
        <w:tc>
          <w:tcPr>
            <w:tcW w:w="3313"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不同年龄组户籍儿童性别比</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889"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3岁以下</w:t>
            </w:r>
          </w:p>
        </w:tc>
        <w:tc>
          <w:tcPr>
            <w:tcW w:w="3022" w:type="dxa"/>
            <w:tcBorders>
              <w:top w:val="single" w:color="auto" w:sz="4" w:space="0"/>
              <w:left w:val="nil"/>
              <w:bottom w:val="nil"/>
              <w:right w:val="nil"/>
            </w:tcBorders>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33.12</w:t>
            </w:r>
          </w:p>
        </w:tc>
        <w:tc>
          <w:tcPr>
            <w:tcW w:w="3313"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889"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3-5岁</w:t>
            </w:r>
          </w:p>
        </w:tc>
        <w:tc>
          <w:tcPr>
            <w:tcW w:w="302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33.78</w:t>
            </w:r>
          </w:p>
        </w:tc>
        <w:tc>
          <w:tcPr>
            <w:tcW w:w="331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889"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6-11岁</w:t>
            </w:r>
          </w:p>
        </w:tc>
        <w:tc>
          <w:tcPr>
            <w:tcW w:w="302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48.10 </w:t>
            </w:r>
          </w:p>
        </w:tc>
        <w:tc>
          <w:tcPr>
            <w:tcW w:w="3313"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889"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12-14岁</w:t>
            </w:r>
          </w:p>
        </w:tc>
        <w:tc>
          <w:tcPr>
            <w:tcW w:w="302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16.48</w:t>
            </w:r>
          </w:p>
        </w:tc>
        <w:tc>
          <w:tcPr>
            <w:tcW w:w="3313" w:type="dxa"/>
            <w:tcBorders>
              <w:top w:val="nil"/>
              <w:left w:val="nil"/>
              <w:bottom w:val="nil"/>
              <w:right w:val="nil"/>
            </w:tcBorders>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889"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15-17岁</w:t>
            </w:r>
          </w:p>
        </w:tc>
        <w:tc>
          <w:tcPr>
            <w:tcW w:w="3022"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12.39</w:t>
            </w:r>
          </w:p>
        </w:tc>
        <w:tc>
          <w:tcPr>
            <w:tcW w:w="3313"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121.65</w:t>
            </w:r>
          </w:p>
        </w:tc>
      </w:tr>
    </w:tbl>
    <w:p>
      <w:pPr>
        <w:rPr>
          <w:color w:val="000000" w:themeColor="text1"/>
          <w:sz w:val="32"/>
          <w:szCs w:val="32"/>
          <w14:textFill>
            <w14:solidFill>
              <w14:schemeClr w14:val="tx1"/>
            </w14:solidFill>
          </w14:textFill>
        </w:rPr>
      </w:pP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2 婚姻及家庭状况</w:t>
      </w:r>
    </w:p>
    <w:p>
      <w:pPr>
        <w:jc w:val="center"/>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highlight w:val="none"/>
        </w:rPr>
        <w:t>深圳市共办理结婚登记4.87万对；再婚人数为3.73万人；常住人口中计划生育服务管理的已婚育龄妇女人数为</w:t>
      </w:r>
      <w:r>
        <w:rPr>
          <w:rFonts w:hint="eastAsia" w:ascii="仿宋_GB2312" w:hAnsi="仿宋_GB2312" w:eastAsia="仿宋_GB2312" w:cs="仿宋_GB2312"/>
          <w:color w:val="auto"/>
          <w:sz w:val="32"/>
          <w:szCs w:val="32"/>
          <w:highlight w:val="none"/>
          <w:lang w:val="en-US" w:eastAsia="zh-CN"/>
        </w:rPr>
        <w:t>386.65</w:t>
      </w:r>
      <w:r>
        <w:rPr>
          <w:rFonts w:hint="eastAsia" w:ascii="仿宋_GB2312" w:hAnsi="仿宋_GB2312" w:eastAsia="仿宋_GB2312" w:cs="仿宋_GB2312"/>
          <w:color w:val="auto"/>
          <w:sz w:val="32"/>
          <w:szCs w:val="32"/>
          <w:highlight w:val="none"/>
        </w:rPr>
        <w:t>万人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户籍</w:t>
      </w:r>
      <w:r>
        <w:rPr>
          <w:rFonts w:hint="eastAsia" w:ascii="仿宋_GB2312" w:hAnsi="仿宋_GB2312" w:eastAsia="仿宋_GB2312" w:cs="仿宋_GB2312"/>
          <w:color w:val="auto"/>
          <w:sz w:val="32"/>
          <w:szCs w:val="32"/>
          <w:highlight w:val="none"/>
          <w:lang w:eastAsia="zh-CN"/>
        </w:rPr>
        <w:t>人口中计划生育服务管理的已婚育龄妇女人数为</w:t>
      </w:r>
      <w:r>
        <w:rPr>
          <w:rFonts w:hint="eastAsia" w:ascii="仿宋_GB2312" w:hAnsi="仿宋_GB2312" w:eastAsia="仿宋_GB2312" w:cs="仿宋_GB2312"/>
          <w:color w:val="auto"/>
          <w:sz w:val="32"/>
          <w:szCs w:val="32"/>
          <w:highlight w:val="none"/>
          <w:lang w:val="en-US" w:eastAsia="zh-CN"/>
        </w:rPr>
        <w:t>132.46</w:t>
      </w:r>
      <w:r>
        <w:rPr>
          <w:rFonts w:hint="eastAsia" w:ascii="仿宋_GB2312" w:hAnsi="仿宋_GB2312" w:eastAsia="仿宋_GB2312" w:cs="仿宋_GB2312"/>
          <w:color w:val="auto"/>
          <w:sz w:val="32"/>
          <w:szCs w:val="32"/>
          <w:highlight w:val="none"/>
          <w:lang w:eastAsia="zh-CN"/>
        </w:rPr>
        <w:t>万人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，深圳市女性房产户主</w:t>
      </w:r>
      <w:r>
        <w:rPr>
          <w:rStyle w:val="12"/>
          <w:rFonts w:hint="eastAsia" w:ascii="仿宋_GB2312" w:hAnsi="仿宋_GB2312" w:eastAsia="仿宋_GB2312" w:cs="仿宋_GB2312"/>
          <w:color w:val="000000" w:themeColor="text1"/>
          <w:sz w:val="32"/>
          <w:szCs w:val="32"/>
          <w14:textFill>
            <w14:solidFill>
              <w14:schemeClr w14:val="tx1"/>
            </w14:solidFill>
          </w14:textFill>
        </w:rPr>
        <w:footnoteReference w:id="1"/>
      </w:r>
      <w:r>
        <w:rPr>
          <w:rFonts w:hint="eastAsia" w:ascii="仿宋_GB2312" w:hAnsi="仿宋_GB2312" w:eastAsia="仿宋_GB2312" w:cs="仿宋_GB2312"/>
          <w:color w:val="000000" w:themeColor="text1"/>
          <w:sz w:val="32"/>
          <w:szCs w:val="32"/>
          <w14:textFill>
            <w14:solidFill>
              <w14:schemeClr w14:val="tx1"/>
            </w14:solidFill>
          </w14:textFill>
        </w:rPr>
        <w:t>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为63.67</w:t>
      </w:r>
      <w:r>
        <w:rPr>
          <w:rFonts w:hint="eastAsia" w:ascii="仿宋_GB2312" w:hAnsi="仿宋_GB2312" w:eastAsia="仿宋_GB2312" w:cs="仿宋_GB2312"/>
          <w:color w:val="000000" w:themeColor="text1"/>
          <w:sz w:val="32"/>
          <w:szCs w:val="32"/>
          <w14:textFill>
            <w14:solidFill>
              <w14:schemeClr w14:val="tx1"/>
            </w14:solidFill>
          </w14:textFill>
        </w:rPr>
        <w:t>万人，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房产户主</w:t>
      </w:r>
      <w:r>
        <w:rPr>
          <w:rFonts w:hint="eastAsia" w:ascii="仿宋_GB2312" w:hAnsi="仿宋_GB2312" w:eastAsia="仿宋_GB2312" w:cs="仿宋_GB2312"/>
          <w:color w:val="000000" w:themeColor="text1"/>
          <w:sz w:val="32"/>
          <w:szCs w:val="32"/>
          <w14:textFill>
            <w14:solidFill>
              <w14:schemeClr w14:val="tx1"/>
            </w14:solidFill>
          </w14:textFill>
        </w:rPr>
        <w:t>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96.75</w:t>
      </w:r>
      <w:r>
        <w:rPr>
          <w:rFonts w:hint="eastAsia" w:ascii="仿宋_GB2312" w:hAnsi="仿宋_GB2312" w:eastAsia="仿宋_GB2312" w:cs="仿宋_GB2312"/>
          <w:color w:val="000000" w:themeColor="text1"/>
          <w:sz w:val="32"/>
          <w:szCs w:val="32"/>
          <w14:textFill>
            <w14:solidFill>
              <w14:schemeClr w14:val="tx1"/>
            </w14:solidFill>
          </w14:textFill>
        </w:rPr>
        <w:t>，其中户籍人口房产户主性别比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为91.68</w:t>
      </w:r>
      <w:r>
        <w:rPr>
          <w:rFonts w:hint="eastAsia" w:ascii="仿宋_GB2312" w:hAnsi="仿宋_GB2312" w:eastAsia="仿宋_GB2312" w:cs="仿宋_GB2312"/>
          <w:color w:val="000000" w:themeColor="text1"/>
          <w:sz w:val="32"/>
          <w:szCs w:val="32"/>
          <w14:textFill>
            <w14:solidFill>
              <w14:schemeClr w14:val="tx1"/>
            </w14:solidFill>
          </w14:textFill>
        </w:rPr>
        <w:t>，非深户籍人口房产户主性别比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为105.61</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，深圳市新增保障性住房申请户数有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15.73</w:t>
      </w:r>
      <w:r>
        <w:rPr>
          <w:rFonts w:hint="eastAsia" w:ascii="仿宋_GB2312" w:hAnsi="仿宋_GB2312" w:eastAsia="仿宋_GB2312" w:cs="仿宋_GB2312"/>
          <w:color w:val="000000" w:themeColor="text1"/>
          <w:sz w:val="32"/>
          <w:szCs w:val="32"/>
          <w14:textFill>
            <w14:solidFill>
              <w14:schemeClr w14:val="tx1"/>
            </w14:solidFill>
          </w14:textFill>
        </w:rPr>
        <w:t>万户，在册轮候申请者男性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15.86</w:t>
      </w:r>
      <w:r>
        <w:rPr>
          <w:rFonts w:hint="eastAsia" w:ascii="仿宋_GB2312" w:hAnsi="仿宋_GB2312" w:eastAsia="仿宋_GB2312" w:cs="仿宋_GB2312"/>
          <w:color w:val="000000" w:themeColor="text1"/>
          <w:sz w:val="32"/>
          <w:szCs w:val="32"/>
          <w14:textFill>
            <w14:solidFill>
              <w14:schemeClr w14:val="tx1"/>
            </w14:solidFill>
          </w14:textFill>
        </w:rPr>
        <w:t>万人，女性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16.53</w:t>
      </w:r>
      <w:r>
        <w:rPr>
          <w:rFonts w:hint="eastAsia" w:ascii="仿宋_GB2312" w:hAnsi="仿宋_GB2312" w:eastAsia="仿宋_GB2312" w:cs="仿宋_GB2312"/>
          <w:color w:val="000000" w:themeColor="text1"/>
          <w:sz w:val="32"/>
          <w:szCs w:val="32"/>
          <w14:textFill>
            <w14:solidFill>
              <w14:schemeClr w14:val="tx1"/>
            </w14:solidFill>
          </w14:textFill>
        </w:rPr>
        <w:t>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95.95</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3 文化教育</w:t>
      </w:r>
    </w:p>
    <w:p>
      <w:pPr>
        <w:jc w:val="left"/>
        <w:rPr>
          <w:rFonts w:ascii="仿宋_GB2312" w:hAnsi="仿宋_GB2312" w:eastAsia="仿宋_GB2312" w:cs="仿宋_GB2312"/>
          <w:b/>
          <w:bCs/>
          <w:color w:val="000000" w:themeColor="text1"/>
          <w:sz w:val="32"/>
          <w:szCs w:val="32"/>
          <w14:textFill>
            <w14:solidFill>
              <w14:schemeClr w14:val="tx1"/>
            </w14:solidFill>
          </w14:textFill>
        </w:rPr>
      </w:pPr>
    </w:p>
    <w:p>
      <w:pPr>
        <w:widowControl/>
        <w:snapToGrid/>
        <w:spacing w:before="0" w:after="0" w:line="560" w:lineRule="exact"/>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艺术家和运动员</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2019年，深圳市文联登记在册文学艺术家会员人数0.</w:t>
      </w:r>
      <w:r>
        <w:rPr>
          <w:rFonts w:hint="eastAsia" w:ascii="仿宋_GB2312" w:hAnsi="仿宋_GB2312" w:eastAsia="仿宋_GB2312" w:cs="仿宋_GB2312"/>
          <w:bCs/>
          <w:color w:val="000000"/>
          <w:sz w:val="32"/>
          <w:szCs w:val="32"/>
          <w:lang w:val="en-US" w:eastAsia="zh-CN"/>
        </w:rPr>
        <w:t>90</w:t>
      </w:r>
      <w:r>
        <w:rPr>
          <w:rFonts w:hint="eastAsia" w:ascii="仿宋_GB2312" w:hAnsi="仿宋_GB2312" w:eastAsia="仿宋_GB2312" w:cs="仿宋_GB2312"/>
          <w:bCs/>
          <w:color w:val="000000"/>
          <w:sz w:val="32"/>
          <w:szCs w:val="32"/>
          <w:lang w:eastAsia="zh-CN"/>
        </w:rPr>
        <w:t>万人，其中女性0.3</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lang w:eastAsia="zh-CN"/>
        </w:rPr>
        <w:t>万人，性别比为</w:t>
      </w:r>
      <w:r>
        <w:rPr>
          <w:rFonts w:hint="eastAsia" w:ascii="仿宋_GB2312" w:hAnsi="仿宋_GB2312" w:eastAsia="仿宋_GB2312" w:cs="仿宋_GB2312"/>
          <w:bCs/>
          <w:color w:val="000000"/>
          <w:sz w:val="32"/>
          <w:szCs w:val="32"/>
          <w:lang w:val="en-US" w:eastAsia="zh-CN"/>
        </w:rPr>
        <w:t>164.71</w:t>
      </w:r>
      <w:r>
        <w:rPr>
          <w:rFonts w:hint="eastAsia" w:ascii="仿宋_GB2312" w:hAnsi="仿宋_GB2312" w:eastAsia="仿宋_GB2312" w:cs="仿宋_GB2312"/>
          <w:bCs/>
          <w:color w:val="000000"/>
          <w:sz w:val="32"/>
          <w:szCs w:val="32"/>
          <w:lang w:eastAsia="zh-CN"/>
        </w:rPr>
        <w:t>。深圳市文联所属各协会登记在册会员人数及其性别比情况如下：</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lang w:eastAsia="zh-CN"/>
        </w:rPr>
      </w:pPr>
    </w:p>
    <w:p>
      <w:pPr>
        <w:widowControl/>
        <w:snapToGrid/>
        <w:spacing w:before="0" w:after="0" w:line="560" w:lineRule="exact"/>
        <w:textAlignment w:val="center"/>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表4</w:t>
      </w:r>
    </w:p>
    <w:p>
      <w:pPr>
        <w:widowControl/>
        <w:snapToGrid/>
        <w:spacing w:before="0" w:after="0" w:line="560" w:lineRule="exact"/>
        <w:jc w:val="center"/>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2019年深圳市文联所属12个协会会员人数及其性别比情况</w:t>
      </w:r>
    </w:p>
    <w:tbl>
      <w:tblPr>
        <w:tblStyle w:val="9"/>
        <w:tblW w:w="8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1512"/>
        <w:gridCol w:w="1614"/>
        <w:gridCol w:w="154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blHeader/>
          <w:jc w:val="center"/>
        </w:trPr>
        <w:tc>
          <w:tcPr>
            <w:tcW w:w="2097"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协会名称</w:t>
            </w:r>
          </w:p>
        </w:tc>
        <w:tc>
          <w:tcPr>
            <w:tcW w:w="1512"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会员</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w:t>
            </w:r>
          </w:p>
        </w:tc>
        <w:tc>
          <w:tcPr>
            <w:tcW w:w="1614"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男性</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w:t>
            </w:r>
          </w:p>
        </w:tc>
        <w:tc>
          <w:tcPr>
            <w:tcW w:w="1545"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女性</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w:t>
            </w:r>
          </w:p>
        </w:tc>
        <w:tc>
          <w:tcPr>
            <w:tcW w:w="1986"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会员性别比</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097"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作家协会</w:t>
            </w:r>
          </w:p>
        </w:tc>
        <w:tc>
          <w:tcPr>
            <w:tcW w:w="1512"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1745</w:t>
            </w:r>
          </w:p>
        </w:tc>
        <w:tc>
          <w:tcPr>
            <w:tcW w:w="1614"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525</w:t>
            </w:r>
          </w:p>
        </w:tc>
        <w:tc>
          <w:tcPr>
            <w:tcW w:w="1545"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1220</w:t>
            </w:r>
          </w:p>
        </w:tc>
        <w:tc>
          <w:tcPr>
            <w:tcW w:w="1986"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戏剧家协会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670</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371</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299</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电影电视家协会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357</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239</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118</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音乐家协会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1301</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758</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543</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舞蹈家协会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690</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251</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439</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美术家协会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1502</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1097</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405</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书法家协会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720</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630</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90</w:t>
            </w:r>
          </w:p>
        </w:tc>
        <w:tc>
          <w:tcPr>
            <w:tcW w:w="1986" w:type="dxa"/>
            <w:tcBorders>
              <w:top w:val="nil"/>
              <w:left w:val="nil"/>
              <w:bottom w:val="nil"/>
              <w:right w:val="nil"/>
            </w:tcBorders>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民间文艺家协会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368</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230</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138</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文艺评论家协会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203</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119</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84</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摄影家协会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901</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649</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252</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97"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杂技家协会</w:t>
            </w:r>
          </w:p>
        </w:tc>
        <w:tc>
          <w:tcPr>
            <w:tcW w:w="1512"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391</w:t>
            </w:r>
          </w:p>
        </w:tc>
        <w:tc>
          <w:tcPr>
            <w:tcW w:w="1614"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240</w:t>
            </w:r>
          </w:p>
        </w:tc>
        <w:tc>
          <w:tcPr>
            <w:tcW w:w="15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151</w:t>
            </w:r>
          </w:p>
        </w:tc>
        <w:tc>
          <w:tcPr>
            <w:tcW w:w="1986"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097"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曲艺家协会</w:t>
            </w:r>
          </w:p>
        </w:tc>
        <w:tc>
          <w:tcPr>
            <w:tcW w:w="1512"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166</w:t>
            </w:r>
          </w:p>
        </w:tc>
        <w:tc>
          <w:tcPr>
            <w:tcW w:w="1614"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w:t>
            </w:r>
          </w:p>
        </w:tc>
        <w:tc>
          <w:tcPr>
            <w:tcW w:w="1545"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64</w:t>
            </w:r>
          </w:p>
        </w:tc>
        <w:tc>
          <w:tcPr>
            <w:tcW w:w="1986"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159.38</w:t>
            </w:r>
          </w:p>
        </w:tc>
      </w:tr>
    </w:tbl>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2019年</w:t>
      </w:r>
      <w:r>
        <w:rPr>
          <w:rFonts w:hint="eastAsia" w:ascii="仿宋_GB2312" w:hAnsi="仿宋_GB2312" w:eastAsia="仿宋_GB2312" w:cs="仿宋_GB2312"/>
          <w:bCs/>
          <w:color w:val="000000"/>
          <w:sz w:val="32"/>
          <w:szCs w:val="32"/>
        </w:rPr>
        <w:t>，深圳市社会体育指导员</w:t>
      </w:r>
      <w:r>
        <w:rPr>
          <w:rFonts w:hint="eastAsia" w:ascii="仿宋_GB2312" w:hAnsi="仿宋_GB2312" w:eastAsia="仿宋_GB2312" w:cs="仿宋_GB2312"/>
          <w:bCs/>
          <w:color w:val="000000"/>
          <w:sz w:val="32"/>
          <w:szCs w:val="32"/>
          <w:lang w:val="en-US" w:eastAsia="zh-CN"/>
        </w:rPr>
        <w:t>3.39</w:t>
      </w:r>
      <w:r>
        <w:rPr>
          <w:rFonts w:hint="eastAsia" w:ascii="仿宋_GB2312" w:hAnsi="仿宋_GB2312" w:eastAsia="仿宋_GB2312" w:cs="仿宋_GB2312"/>
          <w:bCs/>
          <w:color w:val="000000"/>
          <w:sz w:val="32"/>
          <w:szCs w:val="32"/>
        </w:rPr>
        <w:t>万人，性别比为</w:t>
      </w:r>
      <w:r>
        <w:rPr>
          <w:rFonts w:hint="eastAsia" w:ascii="仿宋_GB2312" w:hAnsi="仿宋_GB2312" w:eastAsia="仿宋_GB2312" w:cs="仿宋_GB2312"/>
          <w:bCs/>
          <w:color w:val="000000"/>
          <w:sz w:val="32"/>
          <w:szCs w:val="32"/>
          <w:lang w:val="en-US" w:eastAsia="zh-CN"/>
        </w:rPr>
        <w:t>72.94</w:t>
      </w:r>
      <w:r>
        <w:rPr>
          <w:rFonts w:hint="eastAsia" w:ascii="仿宋_GB2312" w:hAnsi="仿宋_GB2312" w:eastAsia="仿宋_GB2312" w:cs="仿宋_GB2312"/>
          <w:bCs/>
          <w:color w:val="000000"/>
          <w:sz w:val="32"/>
          <w:szCs w:val="32"/>
        </w:rPr>
        <w:t>。</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2019年</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深圳市在册运动员</w:t>
      </w:r>
      <w:r>
        <w:rPr>
          <w:rFonts w:hint="eastAsia" w:ascii="仿宋_GB2312" w:hAnsi="仿宋_GB2312" w:eastAsia="仿宋_GB2312" w:cs="仿宋_GB2312"/>
          <w:bCs/>
          <w:color w:val="000000"/>
          <w:sz w:val="32"/>
          <w:szCs w:val="32"/>
          <w:lang w:val="en-US" w:eastAsia="zh-CN"/>
        </w:rPr>
        <w:t>4.36</w:t>
      </w:r>
      <w:r>
        <w:rPr>
          <w:rFonts w:hint="eastAsia" w:ascii="仿宋_GB2312" w:hAnsi="仿宋_GB2312" w:eastAsia="仿宋_GB2312" w:cs="仿宋_GB2312"/>
          <w:bCs/>
          <w:color w:val="000000"/>
          <w:sz w:val="32"/>
          <w:szCs w:val="32"/>
        </w:rPr>
        <w:t>万人，性别比为</w:t>
      </w:r>
      <w:r>
        <w:rPr>
          <w:rFonts w:hint="eastAsia" w:ascii="仿宋_GB2312" w:hAnsi="仿宋_GB2312" w:eastAsia="仿宋_GB2312" w:cs="仿宋_GB2312"/>
          <w:bCs/>
          <w:color w:val="000000"/>
          <w:sz w:val="32"/>
          <w:szCs w:val="32"/>
          <w:lang w:val="en-US" w:eastAsia="zh-CN"/>
        </w:rPr>
        <w:t>149.99</w:t>
      </w:r>
      <w:r>
        <w:rPr>
          <w:rFonts w:hint="eastAsia" w:ascii="仿宋_GB2312" w:hAnsi="仿宋_GB2312" w:eastAsia="仿宋_GB2312" w:cs="仿宋_GB2312"/>
          <w:bCs/>
          <w:color w:val="000000"/>
          <w:sz w:val="32"/>
          <w:szCs w:val="32"/>
        </w:rPr>
        <w:t>。</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p>
    <w:p>
      <w:pPr>
        <w:widowControl/>
        <w:snapToGrid/>
        <w:spacing w:before="0" w:after="0" w:line="560" w:lineRule="exact"/>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教育</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2019年</w:t>
      </w:r>
      <w:r>
        <w:rPr>
          <w:rFonts w:hint="eastAsia" w:ascii="仿宋_GB2312" w:hAnsi="仿宋_GB2312" w:eastAsia="仿宋_GB2312" w:cs="仿宋_GB2312"/>
          <w:bCs/>
          <w:color w:val="000000"/>
          <w:sz w:val="32"/>
          <w:szCs w:val="32"/>
        </w:rPr>
        <w:t>，深圳市小学学龄男童、女童净入学率为100%，男童、女童学前三年毛入园率均达到100%。</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2019年</w:t>
      </w:r>
      <w:r>
        <w:rPr>
          <w:rFonts w:hint="eastAsia" w:ascii="仿宋_GB2312" w:hAnsi="仿宋_GB2312" w:eastAsia="仿宋_GB2312" w:cs="仿宋_GB2312"/>
          <w:bCs/>
          <w:color w:val="000000"/>
          <w:sz w:val="32"/>
          <w:szCs w:val="32"/>
        </w:rPr>
        <w:t>，深圳市幼儿园在校学生性别比为117.</w:t>
      </w:r>
      <w:r>
        <w:rPr>
          <w:rFonts w:hint="eastAsia" w:ascii="仿宋_GB2312" w:hAnsi="仿宋_GB2312" w:eastAsia="仿宋_GB2312" w:cs="仿宋_GB2312"/>
          <w:bCs/>
          <w:color w:val="000000"/>
          <w:sz w:val="32"/>
          <w:szCs w:val="32"/>
          <w:lang w:val="en-US" w:eastAsia="zh-CN"/>
        </w:rPr>
        <w:t>52</w:t>
      </w:r>
      <w:r>
        <w:rPr>
          <w:rFonts w:hint="eastAsia" w:ascii="仿宋_GB2312" w:hAnsi="仿宋_GB2312" w:eastAsia="仿宋_GB2312" w:cs="仿宋_GB2312"/>
          <w:bCs/>
          <w:color w:val="000000"/>
          <w:sz w:val="32"/>
          <w:szCs w:val="32"/>
        </w:rPr>
        <w:t>；小学在校学生性别比为12</w:t>
      </w:r>
      <w:r>
        <w:rPr>
          <w:rFonts w:hint="eastAsia" w:ascii="仿宋_GB2312" w:hAnsi="仿宋_GB2312" w:eastAsia="仿宋_GB2312" w:cs="仿宋_GB2312"/>
          <w:bCs/>
          <w:color w:val="000000"/>
          <w:sz w:val="32"/>
          <w:szCs w:val="32"/>
          <w:lang w:val="en-US" w:eastAsia="zh-CN"/>
        </w:rPr>
        <w:t>1.70</w:t>
      </w:r>
      <w:r>
        <w:rPr>
          <w:rFonts w:hint="eastAsia" w:ascii="仿宋_GB2312" w:hAnsi="仿宋_GB2312" w:eastAsia="仿宋_GB2312" w:cs="仿宋_GB2312"/>
          <w:bCs/>
          <w:color w:val="000000"/>
          <w:sz w:val="32"/>
          <w:szCs w:val="32"/>
        </w:rPr>
        <w:t>；中学（含普通中学、中职学校）在校学生性别比为</w:t>
      </w:r>
      <w:r>
        <w:rPr>
          <w:rFonts w:hint="eastAsia" w:ascii="仿宋_GB2312" w:hAnsi="仿宋_GB2312" w:eastAsia="仿宋_GB2312" w:cs="仿宋_GB2312"/>
          <w:bCs/>
          <w:color w:val="000000"/>
          <w:sz w:val="32"/>
          <w:szCs w:val="32"/>
          <w:lang w:val="en-US" w:eastAsia="zh-CN"/>
        </w:rPr>
        <w:t>124.95</w:t>
      </w:r>
      <w:r>
        <w:rPr>
          <w:rFonts w:hint="eastAsia" w:ascii="仿宋_GB2312" w:hAnsi="仿宋_GB2312" w:eastAsia="仿宋_GB2312" w:cs="仿宋_GB2312"/>
          <w:bCs/>
          <w:color w:val="000000"/>
          <w:sz w:val="32"/>
          <w:szCs w:val="32"/>
        </w:rPr>
        <w:t>。全市各区（新区）各教育阶段在校学生性别比情况如下：</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p>
    <w:p>
      <w:pPr>
        <w:widowControl/>
        <w:snapToGrid/>
        <w:spacing w:before="0" w:after="0" w:line="560" w:lineRule="exact"/>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表5</w:t>
      </w:r>
    </w:p>
    <w:p>
      <w:pPr>
        <w:widowControl/>
        <w:snapToGrid/>
        <w:spacing w:before="0" w:after="0" w:line="560" w:lineRule="exact"/>
        <w:jc w:val="center"/>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2019年深圳市各区（新区）各教育阶段在校学生性别比情况</w:t>
      </w:r>
    </w:p>
    <w:tbl>
      <w:tblPr>
        <w:tblStyle w:val="9"/>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755"/>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75"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755"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幼儿园在校学生性别比（女=100）</w:t>
            </w:r>
          </w:p>
        </w:tc>
        <w:tc>
          <w:tcPr>
            <w:tcW w:w="2395"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小学在校学生性别比（女=100）</w:t>
            </w:r>
          </w:p>
        </w:tc>
        <w:tc>
          <w:tcPr>
            <w:tcW w:w="2395"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中学在校学生性别比</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75"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全市</w:t>
            </w:r>
          </w:p>
        </w:tc>
        <w:tc>
          <w:tcPr>
            <w:tcW w:w="2755"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117.52</w:t>
            </w:r>
          </w:p>
        </w:tc>
        <w:tc>
          <w:tcPr>
            <w:tcW w:w="2395"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121.70 </w:t>
            </w:r>
          </w:p>
        </w:tc>
        <w:tc>
          <w:tcPr>
            <w:tcW w:w="2395"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福田区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114.87</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116.86</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罗湖区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119.02</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118.08</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盐田区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123.57</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122.35</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南山区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113.32</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117.90 </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宝安区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118.36</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124.51</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龙岗区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117.03</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121.37</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龙华区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117.75</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122.24</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坪山区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121.73</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126.76</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7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光明区</w:t>
            </w:r>
          </w:p>
        </w:tc>
        <w:tc>
          <w:tcPr>
            <w:tcW w:w="2755"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123.60 </w:t>
            </w:r>
          </w:p>
        </w:tc>
        <w:tc>
          <w:tcPr>
            <w:tcW w:w="239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128.53</w:t>
            </w:r>
          </w:p>
        </w:tc>
        <w:tc>
          <w:tcPr>
            <w:tcW w:w="2395" w:type="dxa"/>
            <w:tcBorders>
              <w:top w:val="nil"/>
              <w:left w:val="nil"/>
              <w:bottom w:val="nil"/>
              <w:right w:val="nil"/>
            </w:tcBorders>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275"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大鹏新区</w:t>
            </w:r>
          </w:p>
        </w:tc>
        <w:tc>
          <w:tcPr>
            <w:tcW w:w="2755"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115.92</w:t>
            </w:r>
          </w:p>
        </w:tc>
        <w:tc>
          <w:tcPr>
            <w:tcW w:w="2395"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123.85</w:t>
            </w:r>
          </w:p>
        </w:tc>
        <w:tc>
          <w:tcPr>
            <w:tcW w:w="2395"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114.86</w:t>
            </w:r>
          </w:p>
        </w:tc>
      </w:tr>
    </w:tbl>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2019年，深圳市幼儿园教师性别比为1.23；小学教师性别比为28.72；中学教师性别比为65.62。全市各区（新区）各教育阶段教师性别比情况如下：</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lang w:val="en-US" w:eastAsia="zh-CN"/>
        </w:rPr>
      </w:pPr>
    </w:p>
    <w:p>
      <w:pPr>
        <w:widowControl/>
        <w:snapToGrid/>
        <w:spacing w:before="0" w:after="0" w:line="560" w:lineRule="exact"/>
        <w:textAlignment w:val="cente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表6</w:t>
      </w:r>
    </w:p>
    <w:p>
      <w:pPr>
        <w:widowControl/>
        <w:snapToGrid/>
        <w:spacing w:before="0" w:after="0" w:line="560" w:lineRule="exact"/>
        <w:jc w:val="center"/>
        <w:textAlignment w:val="center"/>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2019年深圳市各区(新区)各教育阶段教师性别比情况</w:t>
      </w:r>
    </w:p>
    <w:tbl>
      <w:tblPr>
        <w:tblStyle w:val="9"/>
        <w:tblW w:w="84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330"/>
        <w:gridCol w:w="2516"/>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blHeader/>
          <w:jc w:val="center"/>
        </w:trPr>
        <w:tc>
          <w:tcPr>
            <w:tcW w:w="1554"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330"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幼儿园教师性别比</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（女=100）</w:t>
            </w:r>
          </w:p>
        </w:tc>
        <w:tc>
          <w:tcPr>
            <w:tcW w:w="2516"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小学教师性别比</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（女=100）</w:t>
            </w:r>
          </w:p>
        </w:tc>
        <w:tc>
          <w:tcPr>
            <w:tcW w:w="2045" w:type="dxa"/>
            <w:tcBorders>
              <w:top w:val="single" w:color="auto" w:sz="4" w:space="0"/>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中学教师性别比</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54"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全市</w:t>
            </w:r>
          </w:p>
        </w:tc>
        <w:tc>
          <w:tcPr>
            <w:tcW w:w="2330"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1.23</w:t>
            </w:r>
          </w:p>
        </w:tc>
        <w:tc>
          <w:tcPr>
            <w:tcW w:w="2516"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28.72</w:t>
            </w:r>
          </w:p>
        </w:tc>
        <w:tc>
          <w:tcPr>
            <w:tcW w:w="2045" w:type="dxa"/>
            <w:tcBorders>
              <w:top w:val="single" w:color="auto" w:sz="4" w:space="0"/>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福田区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2.09</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25.83</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罗湖区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1.31</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30.33</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盐田区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1.61</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35.11</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南山区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1.91</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27.07</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宝安区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0.73</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27.39</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龙岗区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31.63</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龙华区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0.97</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26.05</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坪山区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0.83</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29.12</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554"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光明区</w:t>
            </w:r>
          </w:p>
        </w:tc>
        <w:tc>
          <w:tcPr>
            <w:tcW w:w="2330"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0.77</w:t>
            </w:r>
          </w:p>
        </w:tc>
        <w:tc>
          <w:tcPr>
            <w:tcW w:w="2516" w:type="dxa"/>
            <w:tcBorders>
              <w:top w:val="nil"/>
              <w:left w:val="nil"/>
              <w:bottom w:val="nil"/>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30.21</w:t>
            </w:r>
          </w:p>
        </w:tc>
        <w:tc>
          <w:tcPr>
            <w:tcW w:w="2045" w:type="dxa"/>
            <w:tcBorders>
              <w:top w:val="nil"/>
              <w:left w:val="nil"/>
              <w:bottom w:val="nil"/>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54"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大鹏新区</w:t>
            </w:r>
          </w:p>
        </w:tc>
        <w:tc>
          <w:tcPr>
            <w:tcW w:w="2330"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1.29</w:t>
            </w:r>
          </w:p>
        </w:tc>
        <w:tc>
          <w:tcPr>
            <w:tcW w:w="2516"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43.47</w:t>
            </w:r>
          </w:p>
        </w:tc>
        <w:tc>
          <w:tcPr>
            <w:tcW w:w="2045" w:type="dxa"/>
            <w:tcBorders>
              <w:top w:val="nil"/>
              <w:left w:val="nil"/>
              <w:bottom w:val="single" w:color="auto" w:sz="4" w:space="0"/>
              <w:right w:val="nil"/>
            </w:tcBorders>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68.01</w:t>
            </w:r>
          </w:p>
        </w:tc>
      </w:tr>
    </w:tbl>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2019年</w:t>
      </w:r>
      <w:r>
        <w:rPr>
          <w:rFonts w:hint="eastAsia" w:ascii="仿宋_GB2312" w:hAnsi="仿宋_GB2312" w:eastAsia="仿宋_GB2312" w:cs="仿宋_GB2312"/>
          <w:bCs/>
          <w:color w:val="000000"/>
          <w:sz w:val="32"/>
          <w:szCs w:val="32"/>
        </w:rPr>
        <w:t>，深圳市中等职业教育在校学生</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0万人，性别比为</w:t>
      </w:r>
      <w:r>
        <w:rPr>
          <w:rFonts w:hint="eastAsia" w:ascii="仿宋_GB2312" w:hAnsi="仿宋_GB2312" w:eastAsia="仿宋_GB2312" w:cs="仿宋_GB2312"/>
          <w:bCs/>
          <w:color w:val="000000"/>
          <w:sz w:val="32"/>
          <w:szCs w:val="32"/>
          <w:lang w:val="en-US" w:eastAsia="zh-CN"/>
        </w:rPr>
        <w:t>151.20</w:t>
      </w:r>
      <w:r>
        <w:rPr>
          <w:rFonts w:hint="eastAsia" w:ascii="仿宋_GB2312" w:hAnsi="仿宋_GB2312" w:eastAsia="仿宋_GB2312" w:cs="仿宋_GB2312"/>
          <w:bCs/>
          <w:color w:val="000000"/>
          <w:sz w:val="32"/>
          <w:szCs w:val="32"/>
        </w:rPr>
        <w:t>。</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2019年</w:t>
      </w:r>
      <w:r>
        <w:rPr>
          <w:rFonts w:hint="eastAsia" w:ascii="仿宋_GB2312" w:hAnsi="仿宋_GB2312" w:eastAsia="仿宋_GB2312" w:cs="仿宋_GB2312"/>
          <w:bCs/>
          <w:color w:val="000000"/>
          <w:sz w:val="32"/>
          <w:szCs w:val="32"/>
        </w:rPr>
        <w:t>，深圳市高等职业教育在校学生4.</w:t>
      </w:r>
      <w:r>
        <w:rPr>
          <w:rFonts w:hint="eastAsia" w:ascii="仿宋_GB2312" w:hAnsi="仿宋_GB2312" w:eastAsia="仿宋_GB2312" w:cs="仿宋_GB2312"/>
          <w:bCs/>
          <w:color w:val="000000"/>
          <w:sz w:val="32"/>
          <w:szCs w:val="32"/>
          <w:lang w:val="en-US" w:eastAsia="zh-CN"/>
        </w:rPr>
        <w:t>55</w:t>
      </w:r>
      <w:r>
        <w:rPr>
          <w:rFonts w:hint="eastAsia" w:ascii="仿宋_GB2312" w:hAnsi="仿宋_GB2312" w:eastAsia="仿宋_GB2312" w:cs="仿宋_GB2312"/>
          <w:bCs/>
          <w:color w:val="000000"/>
          <w:sz w:val="32"/>
          <w:szCs w:val="32"/>
        </w:rPr>
        <w:t>万人，性别比为</w:t>
      </w:r>
      <w:r>
        <w:rPr>
          <w:rFonts w:hint="eastAsia" w:ascii="仿宋_GB2312" w:hAnsi="仿宋_GB2312" w:eastAsia="仿宋_GB2312" w:cs="仿宋_GB2312"/>
          <w:bCs/>
          <w:color w:val="000000"/>
          <w:sz w:val="32"/>
          <w:szCs w:val="32"/>
          <w:lang w:val="en-US" w:eastAsia="zh-CN"/>
        </w:rPr>
        <w:t>89.71</w:t>
      </w:r>
      <w:r>
        <w:rPr>
          <w:rFonts w:hint="eastAsia" w:ascii="仿宋_GB2312" w:hAnsi="仿宋_GB2312" w:eastAsia="仿宋_GB2312" w:cs="仿宋_GB2312"/>
          <w:bCs/>
          <w:color w:val="000000"/>
          <w:sz w:val="32"/>
          <w:szCs w:val="32"/>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4 就业</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，深圳市城镇非私营单位就业人员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495.61</w:t>
      </w:r>
      <w:r>
        <w:rPr>
          <w:rFonts w:hint="eastAsia" w:ascii="仿宋_GB2312" w:hAnsi="仿宋_GB2312" w:eastAsia="仿宋_GB2312" w:cs="仿宋_GB2312"/>
          <w:color w:val="000000" w:themeColor="text1"/>
          <w:sz w:val="32"/>
          <w:szCs w:val="32"/>
          <w14:textFill>
            <w14:solidFill>
              <w14:schemeClr w14:val="tx1"/>
            </w14:solidFill>
          </w14:textFill>
        </w:rPr>
        <w:t>万人，其中女性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197.06</w:t>
      </w:r>
      <w:r>
        <w:rPr>
          <w:rFonts w:hint="eastAsia" w:ascii="仿宋_GB2312" w:hAnsi="仿宋_GB2312" w:eastAsia="仿宋_GB2312" w:cs="仿宋_GB2312"/>
          <w:color w:val="000000" w:themeColor="text1"/>
          <w:sz w:val="32"/>
          <w:szCs w:val="32"/>
          <w14:textFill>
            <w14:solidFill>
              <w14:schemeClr w14:val="tx1"/>
            </w14:solidFill>
          </w14:textFill>
        </w:rPr>
        <w:t>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151.50</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highlight w:val="none"/>
        </w:rPr>
        <w:t>深圳市城镇登记失业率为2.</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深圳市登记失业人口为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10.69</w:t>
      </w:r>
      <w:r>
        <w:rPr>
          <w:rFonts w:hint="eastAsia" w:ascii="仿宋_GB2312" w:hAnsi="仿宋_GB2312" w:eastAsia="仿宋_GB2312" w:cs="仿宋_GB2312"/>
          <w:color w:val="000000" w:themeColor="text1"/>
          <w:sz w:val="32"/>
          <w:szCs w:val="32"/>
          <w14:textFill>
            <w14:solidFill>
              <w14:schemeClr w14:val="tx1"/>
            </w14:solidFill>
          </w14:textFill>
        </w:rPr>
        <w:t>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111.62</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，深圳市规模以上工业企业R&amp;D</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就业</w:t>
      </w:r>
      <w:r>
        <w:rPr>
          <w:rFonts w:hint="eastAsia" w:ascii="仿宋_GB2312" w:hAnsi="仿宋_GB2312" w:eastAsia="仿宋_GB2312" w:cs="仿宋_GB2312"/>
          <w:color w:val="000000" w:themeColor="text1"/>
          <w:sz w:val="32"/>
          <w:szCs w:val="32"/>
          <w14:textFill>
            <w14:solidFill>
              <w14:schemeClr w14:val="tx1"/>
            </w14:solidFill>
          </w14:textFill>
        </w:rPr>
        <w:t>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30.20</w:t>
      </w:r>
      <w:r>
        <w:rPr>
          <w:rFonts w:hint="eastAsia" w:ascii="仿宋_GB2312" w:hAnsi="仿宋_GB2312" w:eastAsia="仿宋_GB2312" w:cs="仿宋_GB2312"/>
          <w:color w:val="000000" w:themeColor="text1"/>
          <w:sz w:val="32"/>
          <w:szCs w:val="32"/>
          <w14:textFill>
            <w14:solidFill>
              <w14:schemeClr w14:val="tx1"/>
            </w14:solidFill>
          </w14:textFill>
        </w:rPr>
        <w:t>万人，R&amp;D</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就业</w:t>
      </w:r>
      <w:r>
        <w:rPr>
          <w:rFonts w:hint="eastAsia" w:ascii="仿宋_GB2312" w:hAnsi="仿宋_GB2312" w:eastAsia="仿宋_GB2312" w:cs="仿宋_GB2312"/>
          <w:color w:val="000000" w:themeColor="text1"/>
          <w:sz w:val="32"/>
          <w:szCs w:val="32"/>
          <w14:textFill>
            <w14:solidFill>
              <w14:schemeClr w14:val="tx1"/>
            </w14:solidFill>
          </w14:textFill>
        </w:rPr>
        <w:t>人员性别比为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430.70</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5 社会保障</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，深圳市生育保险参保性别比为137.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，基本医疗保险参保性别比为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110.63</w:t>
      </w:r>
      <w:r>
        <w:rPr>
          <w:rFonts w:hint="eastAsia" w:ascii="仿宋_GB2312" w:hAnsi="仿宋_GB2312" w:eastAsia="仿宋_GB2312" w:cs="仿宋_GB2312"/>
          <w:color w:val="000000" w:themeColor="text1"/>
          <w:sz w:val="32"/>
          <w:szCs w:val="32"/>
          <w14:textFill>
            <w14:solidFill>
              <w14:schemeClr w14:val="tx1"/>
            </w14:solidFill>
          </w14:textFill>
        </w:rPr>
        <w:t>，基本养老保险参保性别比为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128.19</w:t>
      </w:r>
      <w:r>
        <w:rPr>
          <w:rFonts w:hint="eastAsia" w:ascii="仿宋_GB2312" w:hAnsi="仿宋_GB2312" w:eastAsia="仿宋_GB2312" w:cs="仿宋_GB2312"/>
          <w:color w:val="000000" w:themeColor="text1"/>
          <w:sz w:val="32"/>
          <w:szCs w:val="32"/>
          <w14:textFill>
            <w14:solidFill>
              <w14:schemeClr w14:val="tx1"/>
            </w14:solidFill>
          </w14:textFill>
        </w:rPr>
        <w:t>，工伤保险参保性别比为140.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86</w:t>
      </w:r>
      <w:r>
        <w:rPr>
          <w:rFonts w:hint="eastAsia" w:ascii="仿宋_GB2312" w:hAnsi="仿宋_GB2312" w:eastAsia="仿宋_GB2312" w:cs="仿宋_GB2312"/>
          <w:color w:val="000000" w:themeColor="text1"/>
          <w:sz w:val="32"/>
          <w:szCs w:val="32"/>
          <w14:textFill>
            <w14:solidFill>
              <w14:schemeClr w14:val="tx1"/>
            </w14:solidFill>
          </w14:textFill>
        </w:rPr>
        <w:t>，失业保险参保性别比为141.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color w:val="000000" w:themeColor="text1"/>
          <w:sz w:val="32"/>
          <w:szCs w:val="32"/>
          <w14:textFill>
            <w14:solidFill>
              <w14:schemeClr w14:val="tx1"/>
            </w14:solidFill>
          </w14:textFill>
        </w:rPr>
        <w:t>，住房公积金缴存性别比为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143.65</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，深圳市救助站救助对象性别比为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496.80</w:t>
      </w:r>
      <w:r>
        <w:rPr>
          <w:rFonts w:hint="eastAsia" w:ascii="仿宋_GB2312" w:hAnsi="仿宋_GB2312" w:eastAsia="仿宋_GB2312" w:cs="仿宋_GB2312"/>
          <w:color w:val="000000" w:themeColor="text1"/>
          <w:sz w:val="32"/>
          <w:szCs w:val="32"/>
          <w14:textFill>
            <w14:solidFill>
              <w14:schemeClr w14:val="tx1"/>
            </w14:solidFill>
          </w14:textFill>
        </w:rPr>
        <w:t>，流浪儿童救助性别比为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256.63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val="en-US" w:eastAsia="zh-CN"/>
        </w:rPr>
        <w:t>儿童</w:t>
      </w:r>
      <w:r>
        <w:rPr>
          <w:rFonts w:hint="eastAsia" w:ascii="仿宋_GB2312" w:hAnsi="仿宋_GB2312" w:eastAsia="仿宋_GB2312" w:cs="仿宋_GB2312"/>
          <w:color w:val="auto"/>
          <w:sz w:val="32"/>
          <w:szCs w:val="32"/>
        </w:rPr>
        <w:t>福利机构集中供养</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儿童性别比为</w:t>
      </w:r>
      <w:r>
        <w:rPr>
          <w:rFonts w:hint="eastAsia" w:ascii="仿宋_GB2312" w:hAnsi="仿宋_GB2312" w:eastAsia="仿宋_GB2312" w:cs="仿宋_GB2312"/>
          <w:color w:val="auto"/>
          <w:sz w:val="32"/>
          <w:szCs w:val="32"/>
          <w:lang w:val="en-US" w:eastAsia="zh-CN"/>
        </w:rPr>
        <w:t>158.48</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，深圳市领取最低生活保障金男性为0.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万人，女性为0.1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106.67</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，深圳市共有0.37万人入住养老院，入住养老院老人性别比为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82.32</w:t>
      </w:r>
      <w:r>
        <w:rPr>
          <w:rFonts w:hint="eastAsia" w:ascii="仿宋_GB2312" w:hAnsi="仿宋_GB2312" w:eastAsia="仿宋_GB2312" w:cs="仿宋_GB2312"/>
          <w:color w:val="000000" w:themeColor="text1"/>
          <w:sz w:val="32"/>
          <w:szCs w:val="32"/>
          <w14:textFill>
            <w14:solidFill>
              <w14:schemeClr w14:val="tx1"/>
            </w14:solidFill>
          </w14:textFill>
        </w:rPr>
        <w:t>；全年共有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41.40</w:t>
      </w:r>
      <w:r>
        <w:rPr>
          <w:rFonts w:hint="eastAsia" w:ascii="仿宋_GB2312" w:hAnsi="仿宋_GB2312" w:eastAsia="仿宋_GB2312" w:cs="仿宋_GB2312"/>
          <w:color w:val="000000" w:themeColor="text1"/>
          <w:sz w:val="32"/>
          <w:szCs w:val="32"/>
          <w14:textFill>
            <w14:solidFill>
              <w14:schemeClr w14:val="tx1"/>
            </w14:solidFill>
          </w14:textFill>
        </w:rPr>
        <w:t>万人领取了养老金，领取养老金人员性别比为45.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，深圳市残疾人康复机构服务户籍持证残疾人数0.8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万人，其中女性0.2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203.45</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6 卫生与健康</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16.17</w:t>
      </w:r>
      <w:r>
        <w:rPr>
          <w:rFonts w:hint="eastAsia" w:ascii="仿宋_GB2312" w:hAnsi="仿宋_GB2312" w:eastAsia="仿宋_GB2312" w:cs="仿宋_GB2312"/>
          <w:color w:val="000000" w:themeColor="text1"/>
          <w:sz w:val="32"/>
          <w:szCs w:val="32"/>
          <w14:textFill>
            <w14:solidFill>
              <w14:schemeClr w14:val="tx1"/>
            </w14:solidFill>
          </w14:textFill>
        </w:rPr>
        <w:t>万名女性进行乳腺癌免费筛查，为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25.10</w:t>
      </w:r>
      <w:r>
        <w:rPr>
          <w:rFonts w:hint="eastAsia" w:ascii="仿宋_GB2312" w:hAnsi="仿宋_GB2312" w:eastAsia="仿宋_GB2312" w:cs="仿宋_GB2312"/>
          <w:color w:val="000000" w:themeColor="text1"/>
          <w:sz w:val="32"/>
          <w:szCs w:val="32"/>
          <w14:textFill>
            <w14:solidFill>
              <w14:schemeClr w14:val="tx1"/>
            </w14:solidFill>
          </w14:textFill>
        </w:rPr>
        <w:t>万名女性进行宫颈癌免费筛查；乳腺癌及宫颈癌免费筛查投入经费为10363.67万元。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，深圳市孕产妇住院分娩率达到99.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91</w:t>
      </w:r>
      <w:r>
        <w:rPr>
          <w:rFonts w:hint="eastAsia" w:ascii="仿宋_GB2312" w:hAnsi="仿宋_GB2312" w:eastAsia="仿宋_GB2312" w:cs="仿宋_GB2312"/>
          <w:color w:val="000000" w:themeColor="text1"/>
          <w:sz w:val="32"/>
          <w:szCs w:val="32"/>
          <w14:textFill>
            <w14:solidFill>
              <w14:schemeClr w14:val="tx1"/>
            </w14:solidFill>
          </w14:textFill>
        </w:rPr>
        <w:t>%，孕妇产前检查率达到98.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深圳市婴儿死亡率为1.4‰</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highlight w:val="none"/>
          <w14:textFill>
            <w14:solidFill>
              <w14:schemeClr w14:val="tx1"/>
            </w14:solidFill>
          </w14:textFill>
        </w:rPr>
        <w:t>，深圳市五岁以下男童死亡率为1.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32"/>
          <w:szCs w:val="32"/>
          <w:highlight w:val="none"/>
          <w14:textFill>
            <w14:solidFill>
              <w14:schemeClr w14:val="tx1"/>
            </w14:solidFill>
          </w14:textFill>
        </w:rPr>
        <w:t>‰，五岁以下女童死亡率为1.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69</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，中小学生肥胖率为8.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w:t>
      </w:r>
      <w:r>
        <w:rPr>
          <w:rFonts w:hint="eastAsia" w:ascii="仿宋_GB2312" w:hAnsi="仿宋_GB2312" w:eastAsia="仿宋_GB2312" w:cs="仿宋_GB2312"/>
          <w:color w:val="000000" w:themeColor="text1"/>
          <w:sz w:val="32"/>
          <w:szCs w:val="32"/>
          <w14:textFill>
            <w14:solidFill>
              <w14:schemeClr w14:val="tx1"/>
            </w14:solidFill>
          </w14:textFill>
        </w:rPr>
        <w:t>%，其中男生为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10.73</w:t>
      </w:r>
      <w:r>
        <w:rPr>
          <w:rFonts w:hint="eastAsia" w:ascii="仿宋_GB2312" w:hAnsi="仿宋_GB2312" w:eastAsia="仿宋_GB2312" w:cs="仿宋_GB2312"/>
          <w:color w:val="000000" w:themeColor="text1"/>
          <w:sz w:val="32"/>
          <w:szCs w:val="32"/>
          <w14:textFill>
            <w14:solidFill>
              <w14:schemeClr w14:val="tx1"/>
            </w14:solidFill>
          </w14:textFill>
        </w:rPr>
        <w:t>%，女生为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中小学生视力不良率为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52.42</w:t>
      </w:r>
      <w:r>
        <w:rPr>
          <w:rFonts w:hint="eastAsia" w:ascii="仿宋_GB2312" w:hAnsi="仿宋_GB2312" w:eastAsia="仿宋_GB2312" w:cs="仿宋_GB2312"/>
          <w:color w:val="000000" w:themeColor="text1"/>
          <w:sz w:val="32"/>
          <w:szCs w:val="32"/>
          <w14:textFill>
            <w14:solidFill>
              <w14:schemeClr w14:val="tx1"/>
            </w14:solidFill>
          </w14:textFill>
        </w:rPr>
        <w:t>%，其中男生为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49.19</w:t>
      </w:r>
      <w:r>
        <w:rPr>
          <w:rFonts w:hint="eastAsia" w:ascii="仿宋_GB2312" w:hAnsi="仿宋_GB2312" w:eastAsia="仿宋_GB2312" w:cs="仿宋_GB2312"/>
          <w:color w:val="000000" w:themeColor="text1"/>
          <w:sz w:val="32"/>
          <w:szCs w:val="32"/>
          <w14:textFill>
            <w14:solidFill>
              <w14:schemeClr w14:val="tx1"/>
            </w14:solidFill>
          </w14:textFill>
        </w:rPr>
        <w:t>%，女生为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56.36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rPr>
        <w:t>12岁青少年恒牙患龋率为</w:t>
      </w:r>
      <w:r>
        <w:rPr>
          <w:rFonts w:hint="eastAsia" w:ascii="仿宋_GB2312" w:hAnsi="仿宋_GB2312" w:eastAsia="仿宋_GB2312" w:cs="仿宋_GB2312"/>
          <w:color w:val="auto"/>
          <w:sz w:val="32"/>
          <w:szCs w:val="32"/>
          <w:lang w:val="en-US" w:eastAsia="zh-CN"/>
        </w:rPr>
        <w:t>18.9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其中男生为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16.8</w:t>
      </w:r>
      <w:r>
        <w:rPr>
          <w:rFonts w:hint="eastAsia" w:ascii="仿宋_GB2312" w:hAnsi="仿宋_GB2312" w:eastAsia="仿宋_GB2312" w:cs="仿宋_GB2312"/>
          <w:color w:val="000000" w:themeColor="text1"/>
          <w:sz w:val="32"/>
          <w:szCs w:val="32"/>
          <w14:textFill>
            <w14:solidFill>
              <w14:schemeClr w14:val="tx1"/>
            </w14:solidFill>
          </w14:textFill>
        </w:rPr>
        <w:t>%，女生为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中小学生营养不良发生率为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9.74</w:t>
      </w:r>
      <w:r>
        <w:rPr>
          <w:rFonts w:hint="eastAsia" w:ascii="仿宋_GB2312" w:hAnsi="仿宋_GB2312" w:eastAsia="仿宋_GB2312" w:cs="仿宋_GB2312"/>
          <w:color w:val="000000" w:themeColor="text1"/>
          <w:sz w:val="32"/>
          <w:szCs w:val="32"/>
          <w14:textFill>
            <w14:solidFill>
              <w14:schemeClr w14:val="tx1"/>
            </w14:solidFill>
          </w14:textFill>
        </w:rPr>
        <w:t xml:space="preserve">%，其中男生为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10.54</w:t>
      </w:r>
      <w:r>
        <w:rPr>
          <w:rFonts w:hint="eastAsia" w:ascii="仿宋_GB2312" w:hAnsi="仿宋_GB2312" w:eastAsia="仿宋_GB2312" w:cs="仿宋_GB2312"/>
          <w:color w:val="000000" w:themeColor="text1"/>
          <w:sz w:val="32"/>
          <w:szCs w:val="32"/>
          <w14:textFill>
            <w14:solidFill>
              <w14:schemeClr w14:val="tx1"/>
            </w14:solidFill>
          </w14:textFill>
        </w:rPr>
        <w:t>%，女生为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8.76</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深圳市学生体质健康达标率为95.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7 参政议政</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，深圳市共有中国共产党党员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61.65</w:t>
      </w:r>
      <w:r>
        <w:rPr>
          <w:rFonts w:hint="eastAsia" w:ascii="仿宋_GB2312" w:hAnsi="仿宋_GB2312" w:eastAsia="仿宋_GB2312" w:cs="仿宋_GB2312"/>
          <w:color w:val="000000" w:themeColor="text1"/>
          <w:sz w:val="32"/>
          <w:szCs w:val="32"/>
          <w14:textFill>
            <w14:solidFill>
              <w14:schemeClr w14:val="tx1"/>
            </w14:solidFill>
          </w14:textFill>
        </w:rPr>
        <w:t>万人，其中女性党员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23.71</w:t>
      </w:r>
      <w:r>
        <w:rPr>
          <w:rFonts w:hint="eastAsia" w:ascii="仿宋_GB2312" w:hAnsi="仿宋_GB2312" w:eastAsia="仿宋_GB2312" w:cs="仿宋_GB2312"/>
          <w:color w:val="000000" w:themeColor="text1"/>
          <w:sz w:val="32"/>
          <w:szCs w:val="32"/>
          <w14:textFill>
            <w14:solidFill>
              <w14:schemeClr w14:val="tx1"/>
            </w14:solidFill>
          </w14:textFill>
        </w:rPr>
        <w:t>万人，占比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38.5</w:t>
      </w:r>
      <w:r>
        <w:rPr>
          <w:rFonts w:hint="eastAsia" w:ascii="仿宋_GB2312" w:hAnsi="仿宋_GB2312" w:eastAsia="仿宋_GB2312" w:cs="仿宋_GB2312"/>
          <w:color w:val="000000" w:themeColor="text1"/>
          <w:sz w:val="32"/>
          <w:szCs w:val="32"/>
          <w14:textFill>
            <w14:solidFill>
              <w14:schemeClr w14:val="tx1"/>
            </w14:solidFill>
          </w14:textFill>
        </w:rPr>
        <w:t>%。市党代会代表中女性占比25.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%；市人大代表中女性占比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26.6</w:t>
      </w:r>
      <w:r>
        <w:rPr>
          <w:rFonts w:hint="eastAsia" w:ascii="仿宋_GB2312" w:hAnsi="仿宋_GB2312" w:eastAsia="仿宋_GB2312" w:cs="仿宋_GB2312"/>
          <w:color w:val="000000" w:themeColor="text1"/>
          <w:sz w:val="32"/>
          <w:szCs w:val="32"/>
          <w14:textFill>
            <w14:solidFill>
              <w14:schemeClr w14:val="tx1"/>
            </w14:solidFill>
          </w14:textFill>
        </w:rPr>
        <w:t>%；市政协委员中女性占比19.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，深圳市共有</w:t>
      </w:r>
      <w:r>
        <w:rPr>
          <w:rFonts w:hint="eastAsia" w:ascii="仿宋_GB2312" w:hAnsi="仿宋_GB2312" w:eastAsia="仿宋_GB2312" w:cs="仿宋_GB2312"/>
          <w:color w:val="auto"/>
          <w:sz w:val="32"/>
          <w:szCs w:val="32"/>
        </w:rPr>
        <w:t>公务员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含参照管理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4.6</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万人，</w:t>
      </w:r>
      <w:r>
        <w:rPr>
          <w:rFonts w:hint="eastAsia" w:ascii="仿宋_GB2312" w:hAnsi="仿宋_GB2312" w:eastAsia="仿宋_GB2312" w:cs="仿宋_GB2312"/>
          <w:color w:val="000000" w:themeColor="text1"/>
          <w:sz w:val="32"/>
          <w:szCs w:val="32"/>
          <w14:textFill>
            <w14:solidFill>
              <w14:schemeClr w14:val="tx1"/>
            </w14:solidFill>
          </w14:textFill>
        </w:rPr>
        <w:t>其中女性占比23.9%。</w:t>
      </w: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，新增公务员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0.19</w:t>
      </w:r>
      <w:r>
        <w:rPr>
          <w:rFonts w:hint="eastAsia" w:ascii="仿宋_GB2312" w:hAnsi="仿宋_GB2312" w:eastAsia="仿宋_GB2312" w:cs="仿宋_GB2312"/>
          <w:color w:val="000000" w:themeColor="text1"/>
          <w:sz w:val="32"/>
          <w:szCs w:val="32"/>
          <w14:textFill>
            <w14:solidFill>
              <w14:schemeClr w14:val="tx1"/>
            </w14:solidFill>
          </w14:textFill>
        </w:rPr>
        <w:t>万人，其中女性占比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24.8</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8 参与公共事务</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auto"/>
          <w:sz w:val="32"/>
          <w:szCs w:val="32"/>
          <w:highlight w:val="none"/>
        </w:rPr>
        <w:t>深圳市</w:t>
      </w:r>
      <w:r>
        <w:rPr>
          <w:rFonts w:hint="eastAsia" w:ascii="仿宋_GB2312" w:hAnsi="仿宋_GB2312" w:eastAsia="仿宋_GB2312" w:cs="仿宋_GB2312"/>
          <w:color w:val="auto"/>
          <w:sz w:val="32"/>
          <w:szCs w:val="32"/>
          <w:highlight w:val="none"/>
          <w:lang w:val="en-US" w:eastAsia="zh-CN"/>
        </w:rPr>
        <w:t>已建工会</w:t>
      </w:r>
      <w:r>
        <w:rPr>
          <w:rFonts w:hint="eastAsia" w:ascii="仿宋_GB2312" w:hAnsi="仿宋_GB2312" w:eastAsia="仿宋_GB2312" w:cs="仿宋_GB2312"/>
          <w:color w:val="auto"/>
          <w:sz w:val="32"/>
          <w:szCs w:val="32"/>
          <w:highlight w:val="none"/>
        </w:rPr>
        <w:t>企业职工代表性别比为</w:t>
      </w:r>
      <w:r>
        <w:rPr>
          <w:rFonts w:hint="eastAsia" w:ascii="仿宋_GB2312" w:hAnsi="仿宋_GB2312" w:eastAsia="仿宋_GB2312" w:cs="仿宋_GB2312"/>
          <w:color w:val="auto"/>
          <w:sz w:val="32"/>
          <w:szCs w:val="32"/>
          <w:highlight w:val="none"/>
          <w:lang w:val="en-US" w:eastAsia="zh-CN"/>
        </w:rPr>
        <w:t>143.14</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职员</w:t>
      </w:r>
      <w:r>
        <w:rPr>
          <w:rFonts w:hint="eastAsia" w:ascii="仿宋_GB2312" w:hAnsi="仿宋_GB2312" w:eastAsia="仿宋_GB2312" w:cs="仿宋_GB2312"/>
          <w:color w:val="000000" w:themeColor="text1"/>
          <w:sz w:val="32"/>
          <w:szCs w:val="32"/>
          <w14:textFill>
            <w14:solidFill>
              <w14:schemeClr w14:val="tx1"/>
            </w14:solidFill>
          </w14:textFill>
        </w:rPr>
        <w:t>共11.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w:t>
      </w:r>
      <w:r>
        <w:rPr>
          <w:rFonts w:hint="eastAsia" w:ascii="仿宋_GB2312" w:hAnsi="仿宋_GB2312" w:eastAsia="仿宋_GB2312" w:cs="仿宋_GB2312"/>
          <w:color w:val="000000" w:themeColor="text1"/>
          <w:sz w:val="32"/>
          <w:szCs w:val="32"/>
          <w14:textFill>
            <w14:solidFill>
              <w14:schemeClr w14:val="tx1"/>
            </w14:solidFill>
          </w14:textFill>
        </w:rPr>
        <w:t>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66.06</w:t>
      </w:r>
      <w:r>
        <w:rPr>
          <w:rFonts w:hint="eastAsia" w:ascii="仿宋_GB2312" w:hAnsi="仿宋_GB2312" w:eastAsia="仿宋_GB2312" w:cs="仿宋_GB2312"/>
          <w:color w:val="000000" w:themeColor="text1"/>
          <w:sz w:val="32"/>
          <w:szCs w:val="32"/>
          <w14:textFill>
            <w14:solidFill>
              <w14:schemeClr w14:val="tx1"/>
            </w14:solidFill>
          </w14:textFill>
        </w:rPr>
        <w:t>；事业单位主要负责人共0.16万人，性别比为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359.37</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，深圳市居民委员会成员0.53万人，性别比为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149.95</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，深圳市业主委员会成员0.84万人，性别比为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209.99</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napToGrid/>
        <w:spacing w:before="156" w:beforeLines="50" w:after="156" w:afterLines="50" w:line="580" w:lineRule="exact"/>
        <w:jc w:val="center"/>
        <w:rPr>
          <w:rFonts w:hint="eastAsia" w:ascii="黑体" w:hAnsi="黑体" w:eastAsia="黑体" w:cs="黑体"/>
          <w:b/>
          <w:bCs/>
          <w:sz w:val="36"/>
          <w:szCs w:val="36"/>
        </w:rPr>
      </w:pPr>
      <w:r>
        <w:rPr>
          <w:rFonts w:hint="eastAsia" w:ascii="黑体" w:hAnsi="黑体" w:eastAsia="黑体" w:cs="黑体"/>
          <w:b/>
          <w:bCs/>
          <w:sz w:val="36"/>
          <w:szCs w:val="36"/>
        </w:rPr>
        <w:t>9 法律保护</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，深圳市律师性别比为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157.53</w:t>
      </w:r>
      <w:r>
        <w:rPr>
          <w:rFonts w:hint="eastAsia" w:ascii="仿宋_GB2312" w:hAnsi="仿宋_GB2312" w:eastAsia="仿宋_GB2312" w:cs="仿宋_GB2312"/>
          <w:color w:val="000000" w:themeColor="text1"/>
          <w:sz w:val="32"/>
          <w:szCs w:val="32"/>
          <w14:textFill>
            <w14:solidFill>
              <w14:schemeClr w14:val="tx1"/>
            </w14:solidFill>
          </w14:textFill>
        </w:rPr>
        <w:t>，公证员性别比为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108.82</w:t>
      </w:r>
      <w:r>
        <w:rPr>
          <w:rFonts w:hint="eastAsia" w:ascii="仿宋_GB2312" w:hAnsi="仿宋_GB2312" w:eastAsia="仿宋_GB2312" w:cs="仿宋_GB2312"/>
          <w:color w:val="000000" w:themeColor="text1"/>
          <w:sz w:val="32"/>
          <w:szCs w:val="32"/>
          <w14:textFill>
            <w14:solidFill>
              <w14:schemeClr w14:val="tx1"/>
            </w14:solidFill>
          </w14:textFill>
        </w:rPr>
        <w:t>，人民陪审员性别比为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82.13</w:t>
      </w:r>
      <w:r>
        <w:rPr>
          <w:rFonts w:hint="eastAsia" w:ascii="仿宋_GB2312" w:hAnsi="仿宋_GB2312" w:eastAsia="仿宋_GB2312" w:cs="仿宋_GB2312"/>
          <w:color w:val="000000" w:themeColor="text1"/>
          <w:sz w:val="32"/>
          <w:szCs w:val="32"/>
          <w14:textFill>
            <w14:solidFill>
              <w14:schemeClr w14:val="tx1"/>
            </w14:solidFill>
          </w14:textFill>
        </w:rPr>
        <w:t>,人民调解员性别比为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196.65</w:t>
      </w:r>
      <w:r>
        <w:rPr>
          <w:rFonts w:hint="eastAsia" w:ascii="仿宋_GB2312" w:hAnsi="仿宋_GB2312" w:eastAsia="仿宋_GB2312" w:cs="仿宋_GB2312"/>
          <w:color w:val="000000" w:themeColor="text1"/>
          <w:sz w:val="32"/>
          <w:szCs w:val="32"/>
          <w14:textFill>
            <w14:solidFill>
              <w14:schemeClr w14:val="tx1"/>
            </w14:solidFill>
          </w14:textFill>
        </w:rPr>
        <w:t>，司法鉴定人员性别比为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235.25</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2019年</w:t>
      </w:r>
      <w:r>
        <w:rPr>
          <w:rFonts w:hint="eastAsia" w:ascii="仿宋_GB2312" w:hAnsi="仿宋_GB2312" w:eastAsia="仿宋_GB2312" w:cs="仿宋_GB2312"/>
          <w:color w:val="000000" w:themeColor="text1"/>
          <w:sz w:val="32"/>
          <w:szCs w:val="32"/>
          <w14:textFill>
            <w14:solidFill>
              <w14:schemeClr w14:val="tx1"/>
            </w14:solidFill>
          </w14:textFill>
        </w:rPr>
        <w:t>，深圳市婚姻家庭纠纷调解案件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2287</w:t>
      </w:r>
      <w:r>
        <w:rPr>
          <w:rFonts w:hint="eastAsia" w:ascii="仿宋_GB2312" w:hAnsi="仿宋_GB2312" w:eastAsia="仿宋_GB2312" w:cs="仿宋_GB2312"/>
          <w:color w:val="000000" w:themeColor="text1"/>
          <w:sz w:val="32"/>
          <w:szCs w:val="32"/>
          <w14:textFill>
            <w14:solidFill>
              <w14:schemeClr w14:val="tx1"/>
            </w14:solidFill>
          </w14:textFill>
        </w:rPr>
        <w:t>例。</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widowControl/>
        <w:snapToGrid/>
        <w:spacing w:before="0" w:after="0" w:line="560" w:lineRule="exact"/>
        <w:ind w:firstLine="643" w:firstLineChars="200"/>
        <w:textAlignment w:val="center"/>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注解：</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1.人口性别比：指报告期末在所有人口中，男性人数与女性人数之比，通常用每100个女性人口相应有多少男性人口表示。数据来源：市统计局。</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2.小学学龄儿童净入学率：指报告期末，小学学龄人口中正在接受小学教育人数所占比重。数据来源：市教育局。</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学前三年毛入园率：指某地区学前儿童中进入各类学前教育机构学习的人数占同年龄组人口总数的比重。一般学前教育学龄人口统计为3-5岁或4-6岁人口数。学前教育机构年注册入园儿童人数又称在园儿童数，是指在单独设立的幼儿园、小学附设的学前班、幼儿班及托儿所附设的幼儿班的幼儿数。数据来源：市教育局。</w:t>
      </w:r>
    </w:p>
    <w:p>
      <w:pPr>
        <w:ind w:firstLine="640" w:firstLineChars="200"/>
        <w:rPr>
          <w:rFonts w:hint="eastAsia" w:ascii="仿宋_GB2312" w:hAnsi="仿宋_GB2312" w:eastAsia="仿宋_GB2312" w:cs="仿宋_GB2312"/>
          <w:bCs/>
          <w:color w:val="000000"/>
          <w:sz w:val="32"/>
          <w:szCs w:val="32"/>
        </w:rPr>
      </w:pPr>
      <w:bookmarkStart w:id="0" w:name="_GoBack"/>
      <w:bookmarkEnd w:id="0"/>
      <w:r>
        <w:rPr>
          <w:rFonts w:hint="eastAsia" w:ascii="仿宋_GB2312" w:hAnsi="仿宋_GB2312" w:eastAsia="仿宋_GB2312" w:cs="仿宋_GB2312"/>
          <w:bCs/>
          <w:color w:val="000000"/>
          <w:sz w:val="32"/>
          <w:szCs w:val="32"/>
        </w:rPr>
        <w:t>4.城镇非私营单位就业人员：</w:t>
      </w:r>
      <w:r>
        <w:rPr>
          <w:rFonts w:hint="eastAsia" w:ascii="仿宋_GB2312" w:hAnsi="仿宋_GB2312" w:eastAsia="仿宋_GB2312" w:cs="仿宋_GB2312"/>
          <w:sz w:val="32"/>
          <w:szCs w:val="32"/>
        </w:rPr>
        <w:t>指报告期末，在城镇地区全部非私营法人单位(具体包括国有单位、城镇集体单位、联营经济、股份制经济、外商投资经济、港澳台商投资经济等单位)中工作，并取得劳动报酬的全部人员，以及就业人员中男性就业人员与女性就业人员的性别比。</w:t>
      </w:r>
      <w:r>
        <w:rPr>
          <w:rFonts w:hint="eastAsia" w:ascii="仿宋_GB2312" w:hAnsi="仿宋_GB2312" w:eastAsia="仿宋_GB2312" w:cs="仿宋_GB2312"/>
          <w:bCs/>
          <w:color w:val="000000"/>
          <w:sz w:val="32"/>
          <w:szCs w:val="32"/>
        </w:rPr>
        <w:t>数据来源：市统计局。</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5.R&amp;D</w:t>
      </w:r>
      <w:r>
        <w:rPr>
          <w:rFonts w:hint="eastAsia" w:ascii="仿宋_GB2312" w:hAnsi="仿宋_GB2312" w:eastAsia="仿宋_GB2312" w:cs="仿宋_GB2312"/>
          <w:bCs/>
          <w:color w:val="000000"/>
          <w:sz w:val="32"/>
          <w:szCs w:val="32"/>
          <w:lang w:val="en-US" w:eastAsia="zh-CN"/>
        </w:rPr>
        <w:t>就业</w:t>
      </w:r>
      <w:r>
        <w:rPr>
          <w:rFonts w:hint="eastAsia" w:ascii="仿宋_GB2312" w:hAnsi="仿宋_GB2312" w:eastAsia="仿宋_GB2312" w:cs="仿宋_GB2312"/>
          <w:bCs/>
          <w:color w:val="000000"/>
          <w:sz w:val="32"/>
          <w:szCs w:val="32"/>
        </w:rPr>
        <w:t>人员：</w:t>
      </w:r>
      <w:r>
        <w:rPr>
          <w:rFonts w:hint="eastAsia" w:ascii="仿宋_GB2312" w:hAnsi="仿宋_GB2312" w:eastAsia="仿宋_GB2312" w:cs="仿宋_GB2312"/>
          <w:bCs/>
          <w:color w:val="000000"/>
          <w:sz w:val="32"/>
          <w:szCs w:val="32"/>
          <w:lang w:val="en-US" w:eastAsia="zh-CN"/>
        </w:rPr>
        <w:t>指</w:t>
      </w:r>
      <w:r>
        <w:rPr>
          <w:rFonts w:hint="eastAsia" w:ascii="仿宋_GB2312" w:hAnsi="仿宋_GB2312" w:eastAsia="仿宋_GB2312" w:cs="仿宋_GB2312"/>
          <w:bCs/>
          <w:color w:val="000000"/>
          <w:sz w:val="32"/>
          <w:szCs w:val="32"/>
        </w:rPr>
        <w:t>报告期末，规模以上工业企业中R&amp;D就业人员数。数据来源：市统计局。</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6.城镇登记失业率：指在报告期末城镇登记失业人数占城镇从业人员总数与实有城镇登记失业人数之和的比重。数据来源：市人力资源保障局。</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w:t>
      </w:r>
      <w:r>
        <w:rPr>
          <w:rFonts w:hint="eastAsia" w:ascii="仿宋_GB2312" w:hAnsi="仿宋_GB2312" w:eastAsia="仿宋_GB2312" w:cs="仿宋_GB2312"/>
          <w:bCs/>
          <w:color w:val="000000"/>
          <w:sz w:val="32"/>
          <w:szCs w:val="32"/>
          <w:lang w:val="en-US" w:eastAsia="zh-CN"/>
        </w:rPr>
        <w:t>儿童</w:t>
      </w:r>
      <w:r>
        <w:rPr>
          <w:rFonts w:hint="eastAsia" w:ascii="仿宋_GB2312" w:hAnsi="仿宋_GB2312" w:eastAsia="仿宋_GB2312" w:cs="仿宋_GB2312"/>
          <w:bCs/>
          <w:color w:val="000000"/>
          <w:sz w:val="32"/>
          <w:szCs w:val="32"/>
        </w:rPr>
        <w:t>福利机构集中供养的儿童性别比：指报告期</w:t>
      </w:r>
      <w:r>
        <w:rPr>
          <w:rFonts w:hint="eastAsia" w:ascii="仿宋_GB2312" w:hAnsi="仿宋_GB2312" w:eastAsia="仿宋_GB2312" w:cs="仿宋_GB2312"/>
          <w:bCs/>
          <w:color w:val="000000"/>
          <w:sz w:val="32"/>
          <w:szCs w:val="32"/>
          <w:lang w:val="en-US" w:eastAsia="zh-CN"/>
        </w:rPr>
        <w:t>末，</w:t>
      </w:r>
      <w:r>
        <w:rPr>
          <w:rFonts w:hint="eastAsia" w:ascii="仿宋_GB2312" w:hAnsi="仿宋_GB2312" w:eastAsia="仿宋_GB2312" w:cs="仿宋_GB2312"/>
          <w:bCs/>
          <w:color w:val="000000"/>
          <w:sz w:val="32"/>
          <w:szCs w:val="32"/>
        </w:rPr>
        <w:t>辖区内的福利中心等福利机构供养的儿童中，供养的男性儿童数与供养的女性儿童数之比。数据来源：市民政局。</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8.残疾人康复机构服务户籍持证残疾人数：指报告期内</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辖区内所有残疾人康复机构服务户籍持证残疾人数，以及男性与女性人数。数据来源：市残联。</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9.住院分娩率：指报告期内，辖区住院分娩活产数与活产数之比。数据来源：市卫健委。</w:t>
      </w:r>
    </w:p>
    <w:p>
      <w:pPr>
        <w:widowControl/>
        <w:snapToGrid/>
        <w:spacing w:before="0" w:after="0" w:line="560" w:lineRule="exact"/>
        <w:ind w:firstLine="640" w:firstLineChars="200"/>
        <w:textAlignment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国家学生体质健康标准》达标率：上学年某一级教育学生体质健康达标学生人数占该级教育上学年参加国家学生体质健康标准测试总人数的百分比。学生体质健康达标学生数界定为上学年参加国家学生体质健康标准测试成绩为优秀、良好和及格的人数之和。数据来源：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ind w:firstLine="420" w:firstLineChars="200"/>
        <w:rPr>
          <w:rFonts w:hint="eastAsia" w:ascii="仿宋" w:hAnsi="仿宋" w:eastAsia="仿宋" w:cs="仿宋"/>
        </w:rPr>
      </w:pPr>
      <w:r>
        <w:rPr>
          <w:rStyle w:val="12"/>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sz w:val="20"/>
          <w:szCs w:val="20"/>
        </w:rPr>
        <w:t>指报告期末，男性人数与女性人数之比，通常用每100个女性人口相应有多少男性人口表示，下同。</w:t>
      </w:r>
    </w:p>
  </w:footnote>
  <w:footnote w:id="1">
    <w:p>
      <w:pPr>
        <w:pStyle w:val="7"/>
        <w:ind w:firstLine="360" w:firstLineChars="200"/>
        <w:rPr>
          <w:rFonts w:hint="eastAsia" w:ascii="仿宋" w:hAnsi="仿宋" w:eastAsia="仿宋" w:cs="仿宋"/>
        </w:rPr>
      </w:pPr>
      <w:r>
        <w:rPr>
          <w:rStyle w:val="12"/>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sz w:val="20"/>
          <w:szCs w:val="20"/>
        </w:rPr>
        <w:t>从</w:t>
      </w:r>
      <w:r>
        <w:rPr>
          <w:rFonts w:hint="eastAsia" w:ascii="仿宋" w:hAnsi="仿宋" w:eastAsia="仿宋" w:cs="仿宋"/>
          <w:sz w:val="20"/>
          <w:szCs w:val="20"/>
          <w:lang w:eastAsia="zh-CN"/>
        </w:rPr>
        <w:t>201</w:t>
      </w:r>
      <w:r>
        <w:rPr>
          <w:rFonts w:hint="eastAsia" w:ascii="仿宋" w:hAnsi="仿宋" w:eastAsia="仿宋" w:cs="仿宋"/>
          <w:sz w:val="20"/>
          <w:szCs w:val="20"/>
          <w:lang w:val="en-US" w:eastAsia="zh-CN"/>
        </w:rPr>
        <w:t>8</w:t>
      </w:r>
      <w:r>
        <w:rPr>
          <w:rFonts w:hint="eastAsia" w:ascii="仿宋" w:hAnsi="仿宋" w:eastAsia="仿宋" w:cs="仿宋"/>
          <w:sz w:val="20"/>
          <w:szCs w:val="20"/>
          <w:lang w:eastAsia="zh-CN"/>
        </w:rPr>
        <w:t>年</w:t>
      </w:r>
      <w:r>
        <w:rPr>
          <w:rFonts w:hint="eastAsia" w:ascii="仿宋" w:hAnsi="仿宋" w:eastAsia="仿宋" w:cs="仿宋"/>
          <w:sz w:val="20"/>
          <w:szCs w:val="20"/>
        </w:rPr>
        <w:t>开始，该指标所指房产调整为住宅类房产。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D7F5F"/>
    <w:rsid w:val="001247AB"/>
    <w:rsid w:val="002743DA"/>
    <w:rsid w:val="003154D2"/>
    <w:rsid w:val="00661855"/>
    <w:rsid w:val="00826D1F"/>
    <w:rsid w:val="008A19D5"/>
    <w:rsid w:val="008C058B"/>
    <w:rsid w:val="00A50D58"/>
    <w:rsid w:val="00BA70BB"/>
    <w:rsid w:val="00C7529F"/>
    <w:rsid w:val="00D04644"/>
    <w:rsid w:val="00E26BDD"/>
    <w:rsid w:val="00F73499"/>
    <w:rsid w:val="00FD5E19"/>
    <w:rsid w:val="01405B8E"/>
    <w:rsid w:val="01700646"/>
    <w:rsid w:val="017C489E"/>
    <w:rsid w:val="01D856CB"/>
    <w:rsid w:val="02265D8C"/>
    <w:rsid w:val="02B17981"/>
    <w:rsid w:val="02B41ABE"/>
    <w:rsid w:val="02F33884"/>
    <w:rsid w:val="03484E51"/>
    <w:rsid w:val="035A4A8F"/>
    <w:rsid w:val="03D1614C"/>
    <w:rsid w:val="03D35DF6"/>
    <w:rsid w:val="04260862"/>
    <w:rsid w:val="045A68AF"/>
    <w:rsid w:val="04630470"/>
    <w:rsid w:val="04A410B9"/>
    <w:rsid w:val="04A95A60"/>
    <w:rsid w:val="05264AF4"/>
    <w:rsid w:val="05655F34"/>
    <w:rsid w:val="05983D78"/>
    <w:rsid w:val="05BF33D9"/>
    <w:rsid w:val="05C62DF2"/>
    <w:rsid w:val="0626709B"/>
    <w:rsid w:val="06C611BA"/>
    <w:rsid w:val="06EB58FA"/>
    <w:rsid w:val="06EE1650"/>
    <w:rsid w:val="0799358B"/>
    <w:rsid w:val="08163EDD"/>
    <w:rsid w:val="08415D7D"/>
    <w:rsid w:val="086B5C80"/>
    <w:rsid w:val="08C968E8"/>
    <w:rsid w:val="08D86102"/>
    <w:rsid w:val="0916016D"/>
    <w:rsid w:val="09424B8B"/>
    <w:rsid w:val="09762B47"/>
    <w:rsid w:val="0A1B493A"/>
    <w:rsid w:val="0A2D2649"/>
    <w:rsid w:val="0A2D4EBC"/>
    <w:rsid w:val="0A517BBE"/>
    <w:rsid w:val="0A6B3F9B"/>
    <w:rsid w:val="0A8F65E4"/>
    <w:rsid w:val="0A9615E9"/>
    <w:rsid w:val="0AB7276C"/>
    <w:rsid w:val="0AEE4EDC"/>
    <w:rsid w:val="0B8C1D3D"/>
    <w:rsid w:val="0BB123B4"/>
    <w:rsid w:val="0BF945CC"/>
    <w:rsid w:val="0C231B77"/>
    <w:rsid w:val="0CAF0458"/>
    <w:rsid w:val="0CD06CBF"/>
    <w:rsid w:val="0D3C13E8"/>
    <w:rsid w:val="0D775AB8"/>
    <w:rsid w:val="0E24072C"/>
    <w:rsid w:val="0E3D2220"/>
    <w:rsid w:val="0EB0778D"/>
    <w:rsid w:val="0EFA5729"/>
    <w:rsid w:val="0F602CD7"/>
    <w:rsid w:val="10483D0F"/>
    <w:rsid w:val="10897521"/>
    <w:rsid w:val="10E1243C"/>
    <w:rsid w:val="11122EAB"/>
    <w:rsid w:val="11AA4760"/>
    <w:rsid w:val="11B46ABB"/>
    <w:rsid w:val="11B63DF0"/>
    <w:rsid w:val="11D975F1"/>
    <w:rsid w:val="11DD2F04"/>
    <w:rsid w:val="126255E1"/>
    <w:rsid w:val="12FC0F80"/>
    <w:rsid w:val="13017C21"/>
    <w:rsid w:val="131F2226"/>
    <w:rsid w:val="13925EED"/>
    <w:rsid w:val="13985AA2"/>
    <w:rsid w:val="13A63C33"/>
    <w:rsid w:val="13F9544A"/>
    <w:rsid w:val="1447352D"/>
    <w:rsid w:val="145B7957"/>
    <w:rsid w:val="147A3C68"/>
    <w:rsid w:val="14A6502E"/>
    <w:rsid w:val="14DE4CBD"/>
    <w:rsid w:val="15286587"/>
    <w:rsid w:val="154F40CC"/>
    <w:rsid w:val="16752888"/>
    <w:rsid w:val="16907B64"/>
    <w:rsid w:val="17016E40"/>
    <w:rsid w:val="1724168D"/>
    <w:rsid w:val="17577EB6"/>
    <w:rsid w:val="179F050B"/>
    <w:rsid w:val="17F950F2"/>
    <w:rsid w:val="180D7B22"/>
    <w:rsid w:val="189801BA"/>
    <w:rsid w:val="18EF4225"/>
    <w:rsid w:val="19C32F65"/>
    <w:rsid w:val="19C44680"/>
    <w:rsid w:val="1A17043C"/>
    <w:rsid w:val="1A2F1407"/>
    <w:rsid w:val="1A4650E6"/>
    <w:rsid w:val="1BD845F2"/>
    <w:rsid w:val="1C0205A3"/>
    <w:rsid w:val="1C090B26"/>
    <w:rsid w:val="1D2D5D7D"/>
    <w:rsid w:val="1D7A018E"/>
    <w:rsid w:val="1D937EF3"/>
    <w:rsid w:val="1DE9574E"/>
    <w:rsid w:val="1E3F6572"/>
    <w:rsid w:val="1E434541"/>
    <w:rsid w:val="1E507468"/>
    <w:rsid w:val="1F9C31D7"/>
    <w:rsid w:val="20220BDD"/>
    <w:rsid w:val="20A761C8"/>
    <w:rsid w:val="20F51335"/>
    <w:rsid w:val="21047A13"/>
    <w:rsid w:val="21203DAA"/>
    <w:rsid w:val="214A59EC"/>
    <w:rsid w:val="21F6773F"/>
    <w:rsid w:val="22421367"/>
    <w:rsid w:val="22945270"/>
    <w:rsid w:val="22D15532"/>
    <w:rsid w:val="22EC1823"/>
    <w:rsid w:val="23824B7F"/>
    <w:rsid w:val="23AB4849"/>
    <w:rsid w:val="2459709A"/>
    <w:rsid w:val="2468495D"/>
    <w:rsid w:val="248165D8"/>
    <w:rsid w:val="24975569"/>
    <w:rsid w:val="24A17BF4"/>
    <w:rsid w:val="24A7046F"/>
    <w:rsid w:val="24C6578B"/>
    <w:rsid w:val="24D1494F"/>
    <w:rsid w:val="24E25179"/>
    <w:rsid w:val="25844DC5"/>
    <w:rsid w:val="258B6B1F"/>
    <w:rsid w:val="26094C31"/>
    <w:rsid w:val="26675776"/>
    <w:rsid w:val="266A638C"/>
    <w:rsid w:val="26D77EFA"/>
    <w:rsid w:val="27056CD5"/>
    <w:rsid w:val="27641C6B"/>
    <w:rsid w:val="27745C8D"/>
    <w:rsid w:val="27B50D2A"/>
    <w:rsid w:val="27E35CD8"/>
    <w:rsid w:val="28204D1C"/>
    <w:rsid w:val="287810DD"/>
    <w:rsid w:val="28C36410"/>
    <w:rsid w:val="28DD0713"/>
    <w:rsid w:val="29037BA9"/>
    <w:rsid w:val="291D5C6D"/>
    <w:rsid w:val="292B24A8"/>
    <w:rsid w:val="294C223F"/>
    <w:rsid w:val="295030D4"/>
    <w:rsid w:val="29A94CFB"/>
    <w:rsid w:val="29C2146A"/>
    <w:rsid w:val="29D46471"/>
    <w:rsid w:val="2A786F1F"/>
    <w:rsid w:val="2A9660A7"/>
    <w:rsid w:val="2AA87FBF"/>
    <w:rsid w:val="2AAD03D0"/>
    <w:rsid w:val="2AE1125A"/>
    <w:rsid w:val="2B146799"/>
    <w:rsid w:val="2BD228FE"/>
    <w:rsid w:val="2C703DF7"/>
    <w:rsid w:val="2C796983"/>
    <w:rsid w:val="2CB771B6"/>
    <w:rsid w:val="2D390207"/>
    <w:rsid w:val="2D837953"/>
    <w:rsid w:val="2DB10348"/>
    <w:rsid w:val="2DB65B70"/>
    <w:rsid w:val="2DCB74D7"/>
    <w:rsid w:val="2E391A90"/>
    <w:rsid w:val="2E740680"/>
    <w:rsid w:val="2EFB612B"/>
    <w:rsid w:val="2F0136CF"/>
    <w:rsid w:val="2F1104A5"/>
    <w:rsid w:val="2F5B2806"/>
    <w:rsid w:val="2F9445D4"/>
    <w:rsid w:val="2FF54F53"/>
    <w:rsid w:val="2FFE076C"/>
    <w:rsid w:val="30845E23"/>
    <w:rsid w:val="30A1789A"/>
    <w:rsid w:val="31301CD6"/>
    <w:rsid w:val="313C7F78"/>
    <w:rsid w:val="31A85AE6"/>
    <w:rsid w:val="323911D9"/>
    <w:rsid w:val="32891957"/>
    <w:rsid w:val="328F1509"/>
    <w:rsid w:val="33204A27"/>
    <w:rsid w:val="3338735A"/>
    <w:rsid w:val="33CF0668"/>
    <w:rsid w:val="33D96B4D"/>
    <w:rsid w:val="3425413F"/>
    <w:rsid w:val="345B7D53"/>
    <w:rsid w:val="347751AA"/>
    <w:rsid w:val="34A54B47"/>
    <w:rsid w:val="35564183"/>
    <w:rsid w:val="35A731B7"/>
    <w:rsid w:val="35C62680"/>
    <w:rsid w:val="35CA6AB3"/>
    <w:rsid w:val="360B49F9"/>
    <w:rsid w:val="361E6A0A"/>
    <w:rsid w:val="36575CE2"/>
    <w:rsid w:val="366F015A"/>
    <w:rsid w:val="378374F7"/>
    <w:rsid w:val="37873AA5"/>
    <w:rsid w:val="379A22DF"/>
    <w:rsid w:val="37A65027"/>
    <w:rsid w:val="37FC6AF5"/>
    <w:rsid w:val="38040E2A"/>
    <w:rsid w:val="389065C9"/>
    <w:rsid w:val="38C149F0"/>
    <w:rsid w:val="39393C20"/>
    <w:rsid w:val="39827407"/>
    <w:rsid w:val="398657F0"/>
    <w:rsid w:val="3A31499E"/>
    <w:rsid w:val="3A721631"/>
    <w:rsid w:val="3A80254B"/>
    <w:rsid w:val="3A88565A"/>
    <w:rsid w:val="3A9E49BD"/>
    <w:rsid w:val="3AEF6387"/>
    <w:rsid w:val="3AFB6C01"/>
    <w:rsid w:val="3B026897"/>
    <w:rsid w:val="3B0C0630"/>
    <w:rsid w:val="3B4967A2"/>
    <w:rsid w:val="3B4C56C6"/>
    <w:rsid w:val="3B773DC0"/>
    <w:rsid w:val="3BF13985"/>
    <w:rsid w:val="3C4615D7"/>
    <w:rsid w:val="3CB05FB3"/>
    <w:rsid w:val="3CB71ADC"/>
    <w:rsid w:val="3CDC7FA5"/>
    <w:rsid w:val="3CDD4DA3"/>
    <w:rsid w:val="3D5466DD"/>
    <w:rsid w:val="3D5F70AB"/>
    <w:rsid w:val="3D7342C9"/>
    <w:rsid w:val="3D7B12FB"/>
    <w:rsid w:val="3DD713BF"/>
    <w:rsid w:val="3DDA6C5F"/>
    <w:rsid w:val="3E0A59B2"/>
    <w:rsid w:val="3E1513B5"/>
    <w:rsid w:val="3E260F89"/>
    <w:rsid w:val="3E4D1851"/>
    <w:rsid w:val="3E772806"/>
    <w:rsid w:val="3F027EBB"/>
    <w:rsid w:val="3F722AE0"/>
    <w:rsid w:val="40EE435F"/>
    <w:rsid w:val="40F444CE"/>
    <w:rsid w:val="40F8305A"/>
    <w:rsid w:val="41436A59"/>
    <w:rsid w:val="415C2FB6"/>
    <w:rsid w:val="41774568"/>
    <w:rsid w:val="41874AB6"/>
    <w:rsid w:val="41DA236B"/>
    <w:rsid w:val="41E5600F"/>
    <w:rsid w:val="41F24C4F"/>
    <w:rsid w:val="41F47870"/>
    <w:rsid w:val="422D720E"/>
    <w:rsid w:val="42524B37"/>
    <w:rsid w:val="426A7B4B"/>
    <w:rsid w:val="42AC7356"/>
    <w:rsid w:val="42B71845"/>
    <w:rsid w:val="43322228"/>
    <w:rsid w:val="43A036CA"/>
    <w:rsid w:val="43E34795"/>
    <w:rsid w:val="43FB2ACE"/>
    <w:rsid w:val="43FC3EFE"/>
    <w:rsid w:val="444E4703"/>
    <w:rsid w:val="44521AF6"/>
    <w:rsid w:val="447E21DB"/>
    <w:rsid w:val="449F355E"/>
    <w:rsid w:val="44AA7722"/>
    <w:rsid w:val="44E1017E"/>
    <w:rsid w:val="44F46ADE"/>
    <w:rsid w:val="44FB7A0D"/>
    <w:rsid w:val="452C257D"/>
    <w:rsid w:val="457076E5"/>
    <w:rsid w:val="458811BC"/>
    <w:rsid w:val="45B269AA"/>
    <w:rsid w:val="45E332AF"/>
    <w:rsid w:val="45EE7B80"/>
    <w:rsid w:val="460015E7"/>
    <w:rsid w:val="46146BE2"/>
    <w:rsid w:val="471348D1"/>
    <w:rsid w:val="473A79E4"/>
    <w:rsid w:val="47644BB1"/>
    <w:rsid w:val="47670C35"/>
    <w:rsid w:val="476B56D3"/>
    <w:rsid w:val="47712FF2"/>
    <w:rsid w:val="477A4471"/>
    <w:rsid w:val="47BD4AC8"/>
    <w:rsid w:val="47E95D99"/>
    <w:rsid w:val="48006BBC"/>
    <w:rsid w:val="48061A2E"/>
    <w:rsid w:val="481B5A2D"/>
    <w:rsid w:val="48391675"/>
    <w:rsid w:val="48F469EF"/>
    <w:rsid w:val="49175C14"/>
    <w:rsid w:val="492E6AFF"/>
    <w:rsid w:val="495F3E0A"/>
    <w:rsid w:val="496E0EAD"/>
    <w:rsid w:val="4974476D"/>
    <w:rsid w:val="4A0E2F3B"/>
    <w:rsid w:val="4A1A5F76"/>
    <w:rsid w:val="4A281C18"/>
    <w:rsid w:val="4A2D3F13"/>
    <w:rsid w:val="4AD7224A"/>
    <w:rsid w:val="4AD9241B"/>
    <w:rsid w:val="4B1A742B"/>
    <w:rsid w:val="4B594BF6"/>
    <w:rsid w:val="4B5E41BD"/>
    <w:rsid w:val="4BE029FA"/>
    <w:rsid w:val="4C2063BA"/>
    <w:rsid w:val="4C8228AE"/>
    <w:rsid w:val="4C89621D"/>
    <w:rsid w:val="4C922DAD"/>
    <w:rsid w:val="4D0F6F3A"/>
    <w:rsid w:val="4D2405E8"/>
    <w:rsid w:val="4DD5557A"/>
    <w:rsid w:val="4E0D3C0D"/>
    <w:rsid w:val="4E6C26F0"/>
    <w:rsid w:val="4EC771F8"/>
    <w:rsid w:val="4F30389E"/>
    <w:rsid w:val="4F3A3545"/>
    <w:rsid w:val="4F572FB9"/>
    <w:rsid w:val="500D1F71"/>
    <w:rsid w:val="5054591A"/>
    <w:rsid w:val="5079277D"/>
    <w:rsid w:val="508E2BB7"/>
    <w:rsid w:val="50E22D2B"/>
    <w:rsid w:val="510C49CB"/>
    <w:rsid w:val="519C6809"/>
    <w:rsid w:val="522C36B9"/>
    <w:rsid w:val="527F336A"/>
    <w:rsid w:val="52866971"/>
    <w:rsid w:val="52A96F83"/>
    <w:rsid w:val="52BA1659"/>
    <w:rsid w:val="538D799A"/>
    <w:rsid w:val="53B70245"/>
    <w:rsid w:val="53FA492F"/>
    <w:rsid w:val="54AE1047"/>
    <w:rsid w:val="54F67476"/>
    <w:rsid w:val="55042564"/>
    <w:rsid w:val="550848D2"/>
    <w:rsid w:val="55153387"/>
    <w:rsid w:val="551631B1"/>
    <w:rsid w:val="558B1FFF"/>
    <w:rsid w:val="567019F5"/>
    <w:rsid w:val="56834D42"/>
    <w:rsid w:val="569D0A2F"/>
    <w:rsid w:val="56B56896"/>
    <w:rsid w:val="56D344DA"/>
    <w:rsid w:val="56FB10AC"/>
    <w:rsid w:val="57391BA4"/>
    <w:rsid w:val="57BB69D1"/>
    <w:rsid w:val="57E90DAC"/>
    <w:rsid w:val="58185481"/>
    <w:rsid w:val="58734CBE"/>
    <w:rsid w:val="58F70B61"/>
    <w:rsid w:val="59127D79"/>
    <w:rsid w:val="59347D0A"/>
    <w:rsid w:val="59835E55"/>
    <w:rsid w:val="599D77F5"/>
    <w:rsid w:val="5AB0054F"/>
    <w:rsid w:val="5ACD5ACD"/>
    <w:rsid w:val="5BB910B3"/>
    <w:rsid w:val="5C2C11A5"/>
    <w:rsid w:val="5C2F6430"/>
    <w:rsid w:val="5C3B45B5"/>
    <w:rsid w:val="5CDA5823"/>
    <w:rsid w:val="5CFB402D"/>
    <w:rsid w:val="5D4E6E70"/>
    <w:rsid w:val="5D7743F3"/>
    <w:rsid w:val="5E5047F1"/>
    <w:rsid w:val="5E645AAF"/>
    <w:rsid w:val="5E7E7F26"/>
    <w:rsid w:val="5E8D7F5F"/>
    <w:rsid w:val="5EF2754B"/>
    <w:rsid w:val="5F093B55"/>
    <w:rsid w:val="60241342"/>
    <w:rsid w:val="60926AEB"/>
    <w:rsid w:val="61553364"/>
    <w:rsid w:val="615B51F4"/>
    <w:rsid w:val="61AF70F1"/>
    <w:rsid w:val="620C7811"/>
    <w:rsid w:val="622B3EA5"/>
    <w:rsid w:val="628071FE"/>
    <w:rsid w:val="629D5FD5"/>
    <w:rsid w:val="62A77691"/>
    <w:rsid w:val="62AD7101"/>
    <w:rsid w:val="62E242C1"/>
    <w:rsid w:val="63186377"/>
    <w:rsid w:val="63371DB5"/>
    <w:rsid w:val="636675CE"/>
    <w:rsid w:val="63720175"/>
    <w:rsid w:val="63761C1C"/>
    <w:rsid w:val="63B85115"/>
    <w:rsid w:val="64662CCF"/>
    <w:rsid w:val="652E0988"/>
    <w:rsid w:val="652F0379"/>
    <w:rsid w:val="65510F67"/>
    <w:rsid w:val="656C01F5"/>
    <w:rsid w:val="65BA2737"/>
    <w:rsid w:val="65D22AA0"/>
    <w:rsid w:val="65D33EF9"/>
    <w:rsid w:val="65E2243F"/>
    <w:rsid w:val="65EF2017"/>
    <w:rsid w:val="661D0435"/>
    <w:rsid w:val="66AF4D3E"/>
    <w:rsid w:val="67670231"/>
    <w:rsid w:val="67E572D7"/>
    <w:rsid w:val="6841022C"/>
    <w:rsid w:val="686004A9"/>
    <w:rsid w:val="68C23FA0"/>
    <w:rsid w:val="6945742C"/>
    <w:rsid w:val="697C197B"/>
    <w:rsid w:val="69A109F3"/>
    <w:rsid w:val="69C873D3"/>
    <w:rsid w:val="6A2A5874"/>
    <w:rsid w:val="6A624D63"/>
    <w:rsid w:val="6AF360C2"/>
    <w:rsid w:val="6B1C61BB"/>
    <w:rsid w:val="6B984CD8"/>
    <w:rsid w:val="6C483047"/>
    <w:rsid w:val="6C4E7798"/>
    <w:rsid w:val="6C71113C"/>
    <w:rsid w:val="6CEF11A9"/>
    <w:rsid w:val="6D555479"/>
    <w:rsid w:val="6DB045BE"/>
    <w:rsid w:val="6DD525AD"/>
    <w:rsid w:val="6DE602E3"/>
    <w:rsid w:val="6E27485C"/>
    <w:rsid w:val="6E3E3AA3"/>
    <w:rsid w:val="6E4A4602"/>
    <w:rsid w:val="6E9B0D0A"/>
    <w:rsid w:val="6F2528E9"/>
    <w:rsid w:val="6F4625B9"/>
    <w:rsid w:val="6FA10542"/>
    <w:rsid w:val="6FC62CA3"/>
    <w:rsid w:val="6FD46633"/>
    <w:rsid w:val="700C64DB"/>
    <w:rsid w:val="700E5FDE"/>
    <w:rsid w:val="70205FAD"/>
    <w:rsid w:val="7031658B"/>
    <w:rsid w:val="7050535C"/>
    <w:rsid w:val="70B1172C"/>
    <w:rsid w:val="711E26F7"/>
    <w:rsid w:val="7164233A"/>
    <w:rsid w:val="717232EA"/>
    <w:rsid w:val="721B5886"/>
    <w:rsid w:val="721B5F82"/>
    <w:rsid w:val="72227E68"/>
    <w:rsid w:val="727A70BA"/>
    <w:rsid w:val="72922991"/>
    <w:rsid w:val="72DB5DC4"/>
    <w:rsid w:val="731A1DEA"/>
    <w:rsid w:val="731E5A2E"/>
    <w:rsid w:val="73A702A9"/>
    <w:rsid w:val="74061BDE"/>
    <w:rsid w:val="743F3280"/>
    <w:rsid w:val="74467345"/>
    <w:rsid w:val="74742934"/>
    <w:rsid w:val="749641C4"/>
    <w:rsid w:val="75FB23E8"/>
    <w:rsid w:val="76806231"/>
    <w:rsid w:val="76DD512A"/>
    <w:rsid w:val="76E957E9"/>
    <w:rsid w:val="772323F5"/>
    <w:rsid w:val="773A7202"/>
    <w:rsid w:val="783F6DD0"/>
    <w:rsid w:val="786A7DB9"/>
    <w:rsid w:val="78AE7AD5"/>
    <w:rsid w:val="78C66F8B"/>
    <w:rsid w:val="78D36509"/>
    <w:rsid w:val="79177624"/>
    <w:rsid w:val="79646627"/>
    <w:rsid w:val="796E26E6"/>
    <w:rsid w:val="79710AED"/>
    <w:rsid w:val="79844E07"/>
    <w:rsid w:val="7A481CA3"/>
    <w:rsid w:val="7AB95D1B"/>
    <w:rsid w:val="7AEA3358"/>
    <w:rsid w:val="7B0B0EA4"/>
    <w:rsid w:val="7B5B023D"/>
    <w:rsid w:val="7B7A59AB"/>
    <w:rsid w:val="7B8B7744"/>
    <w:rsid w:val="7BF87176"/>
    <w:rsid w:val="7C4D6D76"/>
    <w:rsid w:val="7D02527D"/>
    <w:rsid w:val="7D1B2EA5"/>
    <w:rsid w:val="7D1E290D"/>
    <w:rsid w:val="7D222FC8"/>
    <w:rsid w:val="7D3E3373"/>
    <w:rsid w:val="7D767355"/>
    <w:rsid w:val="7DDC2F5E"/>
    <w:rsid w:val="7E061591"/>
    <w:rsid w:val="7E375832"/>
    <w:rsid w:val="7F1731C0"/>
    <w:rsid w:val="7F261BC1"/>
    <w:rsid w:val="7F7A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24"/>
    </w:rPr>
  </w:style>
  <w:style w:type="paragraph" w:styleId="4">
    <w:name w:val="endnote text"/>
    <w:basedOn w:val="1"/>
    <w:qFormat/>
    <w:uiPriority w:val="0"/>
    <w:pPr>
      <w:snapToGrid w:val="0"/>
      <w:jc w:val="left"/>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endnote reference"/>
    <w:basedOn w:val="10"/>
    <w:qFormat/>
    <w:uiPriority w:val="0"/>
    <w:rPr>
      <w:vertAlign w:val="superscript"/>
    </w:rPr>
  </w:style>
  <w:style w:type="character" w:styleId="12">
    <w:name w:val="footnote reference"/>
    <w:basedOn w:val="10"/>
    <w:qFormat/>
    <w:uiPriority w:val="0"/>
    <w:rPr>
      <w:vertAlign w:val="superscript"/>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808</Words>
  <Characters>4610</Characters>
  <Lines>38</Lines>
  <Paragraphs>10</Paragraphs>
  <TotalTime>1</TotalTime>
  <ScaleCrop>false</ScaleCrop>
  <LinksUpToDate>false</LinksUpToDate>
  <CharactersWithSpaces>5408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2019-11-01T10:13:00Z</dcterms:created>
  <dc:creator>举个栗子</dc:creator>
  <cp:lastModifiedBy>陈俊宏</cp:lastModifiedBy>
  <cp:lastPrinted>2020-12-23T09:23:00Z</cp:lastPrinted>
  <dcterms:modified xsi:type="dcterms:W3CDTF">2020-12-30T07:46:53Z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