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bookmarkStart w:id="0" w:name="_GoBack"/>
      <w:bookmarkEnd w:id="0"/>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tbl>
      <w:tblPr>
        <w:tblStyle w:val="5"/>
        <w:tblpPr w:leftFromText="180" w:rightFromText="180" w:vertAnchor="text" w:horzAnchor="margin" w:tblpY="88"/>
        <w:tblW w:w="9000" w:type="dxa"/>
        <w:tblInd w:w="0" w:type="dxa"/>
        <w:tblLayout w:type="fixed"/>
        <w:tblCellMar>
          <w:top w:w="0" w:type="dxa"/>
          <w:left w:w="108" w:type="dxa"/>
          <w:bottom w:w="0" w:type="dxa"/>
          <w:right w:w="108" w:type="dxa"/>
        </w:tblCellMar>
      </w:tblPr>
      <w:tblGrid>
        <w:gridCol w:w="9000"/>
      </w:tblGrid>
      <w:tr>
        <w:tblPrEx>
          <w:tblLayout w:type="fixed"/>
          <w:tblCellMar>
            <w:top w:w="0" w:type="dxa"/>
            <w:left w:w="108" w:type="dxa"/>
            <w:bottom w:w="0" w:type="dxa"/>
            <w:right w:w="108" w:type="dxa"/>
          </w:tblCellMar>
        </w:tblPrEx>
        <w:trPr>
          <w:trHeight w:val="1161" w:hRule="atLeast"/>
        </w:trPr>
        <w:tc>
          <w:tcPr>
            <w:tcW w:w="9000" w:type="dxa"/>
          </w:tcPr>
          <w:p>
            <w:pPr>
              <w:widowControl/>
              <w:spacing w:line="240" w:lineRule="auto"/>
              <w:ind w:firstLine="0" w:firstLineChars="0"/>
              <w:jc w:val="left"/>
              <w:rPr>
                <w:rFonts w:ascii="黑体" w:hAnsi="黑体" w:eastAsia="黑体"/>
                <w:b/>
                <w:kern w:val="0"/>
                <w:sz w:val="60"/>
                <w:szCs w:val="60"/>
              </w:rPr>
            </w:pPr>
            <w:r>
              <w:rPr>
                <w:rFonts w:hint="eastAsia" w:ascii="黑体" w:hAnsi="黑体" w:eastAsia="黑体"/>
                <w:b/>
                <w:kern w:val="0"/>
                <w:sz w:val="60"/>
                <w:szCs w:val="60"/>
              </w:rPr>
              <w:t>2016年深圳市社会性别统计报告</w:t>
            </w:r>
          </w:p>
        </w:tc>
      </w:tr>
    </w:tbl>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p>
      <w:pPr>
        <w:widowControl/>
        <w:spacing w:line="240" w:lineRule="auto"/>
        <w:ind w:firstLine="0" w:firstLineChars="0"/>
        <w:jc w:val="left"/>
        <w:rPr>
          <w:rFonts w:ascii="Calibri Light" w:hAnsi="Calibri Light" w:eastAsia="宋体"/>
          <w:caps/>
          <w:sz w:val="21"/>
          <w:szCs w:val="22"/>
        </w:rPr>
      </w:pPr>
    </w:p>
    <w:tbl>
      <w:tblPr>
        <w:tblStyle w:val="5"/>
        <w:tblpPr w:leftFromText="180" w:rightFromText="180" w:vertAnchor="text" w:horzAnchor="margin" w:tblpY="88"/>
        <w:tblW w:w="9045" w:type="dxa"/>
        <w:tblInd w:w="0" w:type="dxa"/>
        <w:tblLayout w:type="fixed"/>
        <w:tblCellMar>
          <w:top w:w="0" w:type="dxa"/>
          <w:left w:w="108" w:type="dxa"/>
          <w:bottom w:w="0" w:type="dxa"/>
          <w:right w:w="108" w:type="dxa"/>
        </w:tblCellMar>
      </w:tblPr>
      <w:tblGrid>
        <w:gridCol w:w="9045"/>
      </w:tblGrid>
      <w:tr>
        <w:tblPrEx>
          <w:tblLayout w:type="fixed"/>
          <w:tblCellMar>
            <w:top w:w="0" w:type="dxa"/>
            <w:left w:w="108" w:type="dxa"/>
            <w:bottom w:w="0" w:type="dxa"/>
            <w:right w:w="108" w:type="dxa"/>
          </w:tblCellMar>
        </w:tblPrEx>
        <w:trPr>
          <w:trHeight w:val="805" w:hRule="atLeast"/>
        </w:trPr>
        <w:tc>
          <w:tcPr>
            <w:tcW w:w="9045" w:type="dxa"/>
          </w:tcPr>
          <w:p>
            <w:pPr>
              <w:widowControl/>
              <w:ind w:firstLine="0" w:firstLineChars="0"/>
              <w:jc w:val="center"/>
              <w:rPr>
                <w:rFonts w:ascii="黑体" w:hAnsi="黑体" w:eastAsia="黑体"/>
                <w:b/>
                <w:kern w:val="0"/>
                <w:sz w:val="36"/>
                <w:szCs w:val="36"/>
              </w:rPr>
            </w:pPr>
            <w:r>
              <w:rPr>
                <w:rFonts w:hint="eastAsia" w:ascii="黑体" w:hAnsi="黑体" w:eastAsia="黑体"/>
                <w:b/>
                <w:kern w:val="0"/>
                <w:sz w:val="36"/>
                <w:szCs w:val="36"/>
              </w:rPr>
              <w:t>深圳市妇儿工委</w:t>
            </w:r>
          </w:p>
          <w:p>
            <w:pPr>
              <w:widowControl/>
              <w:ind w:firstLine="0" w:firstLineChars="0"/>
              <w:jc w:val="center"/>
              <w:rPr>
                <w:rFonts w:ascii="黑体" w:hAnsi="黑体" w:eastAsia="黑体"/>
                <w:b/>
                <w:kern w:val="0"/>
                <w:sz w:val="36"/>
                <w:szCs w:val="36"/>
              </w:rPr>
            </w:pPr>
            <w:r>
              <w:rPr>
                <w:rFonts w:hint="eastAsia" w:ascii="黑体" w:hAnsi="黑体" w:eastAsia="黑体"/>
                <w:b/>
                <w:kern w:val="0"/>
                <w:sz w:val="36"/>
                <w:szCs w:val="36"/>
              </w:rPr>
              <w:t>深圳市统计局</w:t>
            </w:r>
          </w:p>
          <w:p>
            <w:pPr>
              <w:spacing w:line="240" w:lineRule="auto"/>
              <w:ind w:firstLine="0" w:firstLineChars="0"/>
              <w:jc w:val="center"/>
              <w:rPr>
                <w:rFonts w:ascii="黑体" w:hAnsi="黑体" w:eastAsia="黑体"/>
                <w:b/>
                <w:kern w:val="0"/>
                <w:sz w:val="36"/>
                <w:szCs w:val="36"/>
              </w:rPr>
            </w:pPr>
            <w:r>
              <w:rPr>
                <w:rFonts w:hint="eastAsia" w:ascii="黑体" w:hAnsi="黑体" w:eastAsia="黑体"/>
                <w:b/>
                <w:kern w:val="0"/>
                <w:sz w:val="36"/>
                <w:szCs w:val="36"/>
              </w:rPr>
              <w:t>二〇一八年二月</w:t>
            </w:r>
          </w:p>
        </w:tc>
      </w:tr>
    </w:tbl>
    <w:p>
      <w:pPr>
        <w:widowControl/>
        <w:spacing w:line="576" w:lineRule="auto"/>
        <w:ind w:firstLine="0" w:firstLineChars="0"/>
        <w:jc w:val="left"/>
        <w:rPr>
          <w:rFonts w:ascii="Calibri" w:hAnsi="Calibri" w:eastAsia="宋体"/>
          <w:b/>
          <w:bCs/>
          <w:kern w:val="44"/>
          <w:szCs w:val="44"/>
        </w:rPr>
        <w:sectPr>
          <w:pgSz w:w="11906" w:h="16838"/>
          <w:pgMar w:top="1440" w:right="1800" w:bottom="1440" w:left="1800" w:header="851" w:footer="992" w:gutter="0"/>
          <w:cols w:space="720" w:num="1"/>
          <w:docGrid w:type="lines" w:linePitch="312" w:charSpace="0"/>
        </w:sectPr>
      </w:pP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1</w:t>
      </w:r>
      <w:r>
        <w:rPr>
          <w:rFonts w:hint="eastAsia" w:ascii="Times New Roman" w:eastAsia="黑体"/>
          <w:bCs/>
          <w:kern w:val="44"/>
          <w:sz w:val="36"/>
          <w:szCs w:val="36"/>
        </w:rPr>
        <w:t>人口特征</w:t>
      </w:r>
    </w:p>
    <w:p>
      <w:pPr>
        <w:keepNext/>
        <w:keepLines/>
        <w:spacing w:before="240" w:after="240" w:line="412" w:lineRule="auto"/>
        <w:ind w:firstLine="640"/>
        <w:outlineLvl w:val="1"/>
        <w:rPr>
          <w:rFonts w:ascii="黑体" w:hAnsi="黑体" w:eastAsia="黑体"/>
          <w:bCs/>
          <w:szCs w:val="32"/>
        </w:rPr>
      </w:pPr>
      <w:r>
        <w:rPr>
          <w:rFonts w:hint="eastAsia" w:ascii="黑体" w:hAnsi="黑体" w:eastAsia="黑体"/>
          <w:bCs/>
          <w:szCs w:val="32"/>
        </w:rPr>
        <w:t>1.1人口规模与性别比</w:t>
      </w:r>
    </w:p>
    <w:p>
      <w:pPr>
        <w:ind w:firstLine="640"/>
        <w:rPr>
          <w:szCs w:val="32"/>
        </w:rPr>
      </w:pPr>
      <w:r>
        <w:rPr>
          <w:rFonts w:hint="eastAsia"/>
          <w:szCs w:val="32"/>
        </w:rPr>
        <w:t>截至</w:t>
      </w:r>
      <w:r>
        <w:rPr>
          <w:szCs w:val="32"/>
        </w:rPr>
        <w:t>2016</w:t>
      </w:r>
      <w:r>
        <w:rPr>
          <w:rFonts w:hint="eastAsia"/>
          <w:szCs w:val="32"/>
        </w:rPr>
        <w:t>年末，深圳市常住人口</w:t>
      </w:r>
      <w:r>
        <w:rPr>
          <w:szCs w:val="32"/>
        </w:rPr>
        <w:t>1190.84</w:t>
      </w:r>
      <w:r>
        <w:rPr>
          <w:rFonts w:hint="eastAsia"/>
          <w:szCs w:val="32"/>
        </w:rPr>
        <w:t>万人，男性常住人口</w:t>
      </w:r>
      <w:r>
        <w:rPr>
          <w:szCs w:val="32"/>
        </w:rPr>
        <w:t xml:space="preserve">633.62 </w:t>
      </w:r>
      <w:r>
        <w:rPr>
          <w:rFonts w:hint="eastAsia"/>
          <w:szCs w:val="32"/>
        </w:rPr>
        <w:t>万人，占全市人口的</w:t>
      </w:r>
      <w:r>
        <w:rPr>
          <w:szCs w:val="32"/>
        </w:rPr>
        <w:t>53.21%</w:t>
      </w:r>
      <w:r>
        <w:rPr>
          <w:rFonts w:hint="eastAsia"/>
          <w:szCs w:val="32"/>
        </w:rPr>
        <w:t>；女性常住人口</w:t>
      </w:r>
      <w:r>
        <w:rPr>
          <w:szCs w:val="32"/>
        </w:rPr>
        <w:t xml:space="preserve">557.22 </w:t>
      </w:r>
      <w:r>
        <w:rPr>
          <w:rFonts w:hint="eastAsia"/>
          <w:szCs w:val="32"/>
        </w:rPr>
        <w:t>万人，占全市人口的</w:t>
      </w:r>
      <w:r>
        <w:rPr>
          <w:szCs w:val="32"/>
        </w:rPr>
        <w:t>46.79%</w:t>
      </w:r>
      <w:r>
        <w:rPr>
          <w:rFonts w:hint="eastAsia"/>
          <w:szCs w:val="32"/>
        </w:rPr>
        <w:t>，常住人口性别比为</w:t>
      </w:r>
      <w:r>
        <w:rPr>
          <w:szCs w:val="32"/>
        </w:rPr>
        <w:t>113.71</w:t>
      </w:r>
      <w:r>
        <w:rPr>
          <w:rFonts w:hint="eastAsia"/>
          <w:szCs w:val="32"/>
        </w:rPr>
        <w:t>。</w:t>
      </w:r>
    </w:p>
    <w:p>
      <w:pPr>
        <w:ind w:firstLine="640"/>
        <w:rPr>
          <w:szCs w:val="32"/>
        </w:rPr>
      </w:pPr>
      <w:r>
        <w:rPr>
          <w:rFonts w:hint="eastAsia"/>
          <w:szCs w:val="32"/>
        </w:rPr>
        <w:t>截止</w:t>
      </w:r>
      <w:r>
        <w:rPr>
          <w:szCs w:val="32"/>
        </w:rPr>
        <w:t>2016</w:t>
      </w:r>
      <w:r>
        <w:rPr>
          <w:rFonts w:hint="eastAsia"/>
          <w:szCs w:val="32"/>
        </w:rPr>
        <w:t>年末，深圳市户籍人口为</w:t>
      </w:r>
      <w:r>
        <w:rPr>
          <w:szCs w:val="32"/>
        </w:rPr>
        <w:t>404.78</w:t>
      </w:r>
      <w:r>
        <w:rPr>
          <w:rFonts w:hint="eastAsia"/>
          <w:szCs w:val="32"/>
        </w:rPr>
        <w:t>万，其中男性为</w:t>
      </w:r>
      <w:r>
        <w:rPr>
          <w:szCs w:val="32"/>
        </w:rPr>
        <w:t>206.83</w:t>
      </w:r>
      <w:r>
        <w:rPr>
          <w:rFonts w:hint="eastAsia"/>
          <w:szCs w:val="32"/>
        </w:rPr>
        <w:t>万，女性为</w:t>
      </w:r>
      <w:r>
        <w:rPr>
          <w:szCs w:val="32"/>
        </w:rPr>
        <w:t>197.95</w:t>
      </w:r>
      <w:r>
        <w:rPr>
          <w:rFonts w:hint="eastAsia"/>
          <w:szCs w:val="32"/>
        </w:rPr>
        <w:t>万人（占比</w:t>
      </w:r>
      <w:r>
        <w:rPr>
          <w:szCs w:val="32"/>
        </w:rPr>
        <w:t>48.90%</w:t>
      </w:r>
      <w:r>
        <w:rPr>
          <w:rFonts w:hint="eastAsia"/>
          <w:szCs w:val="32"/>
        </w:rPr>
        <w:t>），户籍人口性别比为</w:t>
      </w:r>
      <w:r>
        <w:rPr>
          <w:szCs w:val="32"/>
        </w:rPr>
        <w:t>104.48</w:t>
      </w:r>
      <w:r>
        <w:rPr>
          <w:rFonts w:hint="eastAsia"/>
          <w:szCs w:val="32"/>
        </w:rPr>
        <w:t>。</w:t>
      </w:r>
    </w:p>
    <w:p>
      <w:pPr>
        <w:ind w:firstLine="640"/>
        <w:rPr>
          <w:szCs w:val="32"/>
        </w:rPr>
      </w:pPr>
      <w:r>
        <w:rPr>
          <w:szCs w:val="32"/>
        </w:rPr>
        <w:t>2016</w:t>
      </w:r>
      <w:r>
        <w:rPr>
          <w:rFonts w:hint="eastAsia"/>
          <w:szCs w:val="32"/>
        </w:rPr>
        <w:t>年，深圳市户籍迁入人口中男性</w:t>
      </w:r>
      <w:r>
        <w:rPr>
          <w:szCs w:val="32"/>
        </w:rPr>
        <w:t>11.36</w:t>
      </w:r>
      <w:r>
        <w:rPr>
          <w:rFonts w:hint="eastAsia"/>
          <w:szCs w:val="32"/>
        </w:rPr>
        <w:t>万人，女性</w:t>
      </w:r>
      <w:r>
        <w:rPr>
          <w:szCs w:val="32"/>
        </w:rPr>
        <w:t>13.86</w:t>
      </w:r>
      <w:r>
        <w:rPr>
          <w:rFonts w:hint="eastAsia"/>
          <w:szCs w:val="32"/>
        </w:rPr>
        <w:t>万人，户籍迁入人口性别比为</w:t>
      </w:r>
      <w:r>
        <w:rPr>
          <w:szCs w:val="32"/>
        </w:rPr>
        <w:t>81.92</w:t>
      </w:r>
      <w:r>
        <w:rPr>
          <w:rFonts w:hint="eastAsia"/>
          <w:szCs w:val="32"/>
        </w:rPr>
        <w:t>。户籍迁出人口中男性</w:t>
      </w:r>
      <w:r>
        <w:rPr>
          <w:szCs w:val="32"/>
        </w:rPr>
        <w:t>1.2</w:t>
      </w:r>
      <w:r>
        <w:rPr>
          <w:rFonts w:hint="eastAsia"/>
          <w:szCs w:val="32"/>
        </w:rPr>
        <w:t>万人，女性</w:t>
      </w:r>
      <w:r>
        <w:rPr>
          <w:szCs w:val="32"/>
        </w:rPr>
        <w:t>0.82</w:t>
      </w:r>
      <w:r>
        <w:rPr>
          <w:rFonts w:hint="eastAsia"/>
          <w:szCs w:val="32"/>
        </w:rPr>
        <w:t>万人，户籍迁出人口性别比为</w:t>
      </w:r>
      <w:r>
        <w:rPr>
          <w:szCs w:val="32"/>
        </w:rPr>
        <w:t>146.04</w:t>
      </w:r>
      <w:r>
        <w:rPr>
          <w:rFonts w:hint="eastAsia"/>
          <w:szCs w:val="32"/>
        </w:rPr>
        <w:t>。</w:t>
      </w:r>
    </w:p>
    <w:p>
      <w:pPr>
        <w:ind w:firstLine="640"/>
        <w:rPr>
          <w:szCs w:val="32"/>
        </w:rPr>
      </w:pPr>
      <w:r>
        <w:rPr>
          <w:szCs w:val="32"/>
        </w:rPr>
        <w:t>2016</w:t>
      </w:r>
      <w:r>
        <w:rPr>
          <w:rFonts w:hint="eastAsia"/>
          <w:szCs w:val="32"/>
        </w:rPr>
        <w:t>年，深圳市人口出生率为</w:t>
      </w:r>
      <w:r>
        <w:rPr>
          <w:szCs w:val="32"/>
        </w:rPr>
        <w:t>22.33</w:t>
      </w:r>
      <w:r>
        <w:rPr>
          <w:rFonts w:hint="eastAsia"/>
          <w:szCs w:val="32"/>
        </w:rPr>
        <w:t>‰。</w:t>
      </w:r>
      <w:r>
        <w:rPr>
          <w:szCs w:val="32"/>
        </w:rPr>
        <w:t xml:space="preserve"> 2016</w:t>
      </w:r>
      <w:r>
        <w:rPr>
          <w:rFonts w:hint="eastAsia"/>
          <w:szCs w:val="32"/>
        </w:rPr>
        <w:t>年，全市人口自然增长率为</w:t>
      </w:r>
      <w:r>
        <w:rPr>
          <w:szCs w:val="32"/>
        </w:rPr>
        <w:t>20.99</w:t>
      </w:r>
      <w:r>
        <w:rPr>
          <w:rFonts w:hint="eastAsia"/>
          <w:szCs w:val="32"/>
        </w:rPr>
        <w:t>‰，人口死亡率为</w:t>
      </w:r>
      <w:r>
        <w:rPr>
          <w:szCs w:val="32"/>
        </w:rPr>
        <w:t>1.34</w:t>
      </w:r>
      <w:r>
        <w:rPr>
          <w:rFonts w:hint="eastAsia"/>
          <w:szCs w:val="32"/>
        </w:rPr>
        <w:t>‰。</w:t>
      </w:r>
    </w:p>
    <w:p>
      <w:pPr>
        <w:ind w:firstLine="640"/>
        <w:rPr>
          <w:szCs w:val="32"/>
        </w:rPr>
      </w:pPr>
      <w:r>
        <w:rPr>
          <w:szCs w:val="32"/>
        </w:rPr>
        <w:t>2016</w:t>
      </w:r>
      <w:r>
        <w:rPr>
          <w:rFonts w:hint="eastAsia"/>
          <w:szCs w:val="32"/>
        </w:rPr>
        <w:t>年，深圳市出生人口性别比为</w:t>
      </w:r>
      <w:r>
        <w:rPr>
          <w:szCs w:val="32"/>
        </w:rPr>
        <w:t>111.06</w:t>
      </w:r>
      <w:r>
        <w:rPr>
          <w:rFonts w:hint="eastAsia"/>
          <w:szCs w:val="32"/>
        </w:rPr>
        <w:t>；常住人口性别比为</w:t>
      </w:r>
      <w:r>
        <w:rPr>
          <w:szCs w:val="32"/>
        </w:rPr>
        <w:t>113.71</w:t>
      </w:r>
      <w:r>
        <w:rPr>
          <w:rFonts w:hint="eastAsia"/>
          <w:szCs w:val="32"/>
        </w:rPr>
        <w:t>。</w:t>
      </w:r>
    </w:p>
    <w:p>
      <w:pPr>
        <w:ind w:firstLine="640"/>
        <w:rPr>
          <w:szCs w:val="32"/>
        </w:rPr>
      </w:pPr>
      <w:r>
        <w:rPr>
          <w:szCs w:val="32"/>
        </w:rPr>
        <w:t>2016</w:t>
      </w:r>
      <w:r>
        <w:rPr>
          <w:rFonts w:hint="eastAsia"/>
          <w:szCs w:val="32"/>
        </w:rPr>
        <w:t>年，深圳市</w:t>
      </w:r>
      <w:r>
        <w:rPr>
          <w:szCs w:val="32"/>
        </w:rPr>
        <w:t>0</w:t>
      </w:r>
      <w:r>
        <w:rPr>
          <w:rFonts w:hint="eastAsia"/>
          <w:szCs w:val="32"/>
        </w:rPr>
        <w:t>～</w:t>
      </w:r>
      <w:r>
        <w:rPr>
          <w:szCs w:val="32"/>
        </w:rPr>
        <w:t>14</w:t>
      </w:r>
      <w:r>
        <w:rPr>
          <w:rFonts w:hint="eastAsia"/>
          <w:szCs w:val="32"/>
        </w:rPr>
        <w:t>岁年龄组的常住人口性别比为</w:t>
      </w:r>
      <w:r>
        <w:rPr>
          <w:szCs w:val="32"/>
        </w:rPr>
        <w:t xml:space="preserve">109.24 </w:t>
      </w:r>
      <w:r>
        <w:rPr>
          <w:rFonts w:hint="eastAsia"/>
          <w:szCs w:val="32"/>
        </w:rPr>
        <w:t>，</w:t>
      </w:r>
      <w:r>
        <w:rPr>
          <w:szCs w:val="32"/>
        </w:rPr>
        <w:t>15</w:t>
      </w:r>
      <w:r>
        <w:rPr>
          <w:rFonts w:hint="eastAsia"/>
          <w:szCs w:val="32"/>
        </w:rPr>
        <w:t>～</w:t>
      </w:r>
      <w:r>
        <w:rPr>
          <w:szCs w:val="32"/>
        </w:rPr>
        <w:t>64</w:t>
      </w:r>
      <w:r>
        <w:rPr>
          <w:rFonts w:hint="eastAsia"/>
          <w:szCs w:val="32"/>
        </w:rPr>
        <w:t>岁年龄组的常住人口性别比为</w:t>
      </w:r>
      <w:r>
        <w:rPr>
          <w:szCs w:val="32"/>
        </w:rPr>
        <w:t>2016</w:t>
      </w:r>
      <w:r>
        <w:rPr>
          <w:rFonts w:hint="eastAsia"/>
          <w:szCs w:val="32"/>
        </w:rPr>
        <w:t>年的</w:t>
      </w:r>
      <w:r>
        <w:rPr>
          <w:szCs w:val="32"/>
        </w:rPr>
        <w:t>115.30</w:t>
      </w:r>
      <w:r>
        <w:rPr>
          <w:rFonts w:hint="eastAsia"/>
          <w:szCs w:val="32"/>
        </w:rPr>
        <w:t>，</w:t>
      </w:r>
      <w:r>
        <w:rPr>
          <w:szCs w:val="32"/>
        </w:rPr>
        <w:t xml:space="preserve"> 65</w:t>
      </w:r>
      <w:r>
        <w:rPr>
          <w:rFonts w:hint="eastAsia"/>
          <w:szCs w:val="32"/>
        </w:rPr>
        <w:t>岁及以上的常住人口性别比为</w:t>
      </w:r>
      <w:r>
        <w:rPr>
          <w:szCs w:val="32"/>
        </w:rPr>
        <w:t>94.27</w:t>
      </w:r>
      <w:r>
        <w:rPr>
          <w:rFonts w:hint="eastAsia"/>
          <w:szCs w:val="32"/>
        </w:rPr>
        <w:t>。</w:t>
      </w:r>
    </w:p>
    <w:p>
      <w:pPr>
        <w:ind w:firstLine="640"/>
        <w:rPr>
          <w:szCs w:val="32"/>
        </w:rPr>
      </w:pPr>
      <w:r>
        <w:rPr>
          <w:szCs w:val="32"/>
        </w:rPr>
        <w:t>2016</w:t>
      </w:r>
      <w:r>
        <w:rPr>
          <w:rFonts w:hint="eastAsia"/>
          <w:szCs w:val="32"/>
        </w:rPr>
        <w:t>年，深圳市户籍人口性别比为</w:t>
      </w:r>
      <w:r>
        <w:rPr>
          <w:szCs w:val="32"/>
        </w:rPr>
        <w:t>104.48</w:t>
      </w:r>
      <w:r>
        <w:rPr>
          <w:rFonts w:hint="eastAsia"/>
          <w:szCs w:val="32"/>
        </w:rPr>
        <w:t>，其中，</w:t>
      </w:r>
      <w:r>
        <w:rPr>
          <w:szCs w:val="32"/>
        </w:rPr>
        <w:t>0</w:t>
      </w:r>
      <w:r>
        <w:rPr>
          <w:rFonts w:hint="eastAsia"/>
          <w:szCs w:val="32"/>
        </w:rPr>
        <w:t>～</w:t>
      </w:r>
      <w:r>
        <w:rPr>
          <w:szCs w:val="32"/>
        </w:rPr>
        <w:t>14</w:t>
      </w:r>
      <w:r>
        <w:rPr>
          <w:rFonts w:hint="eastAsia"/>
          <w:szCs w:val="32"/>
        </w:rPr>
        <w:t>岁的户籍人口性别比为</w:t>
      </w:r>
      <w:r>
        <w:rPr>
          <w:szCs w:val="32"/>
        </w:rPr>
        <w:t>117.59</w:t>
      </w:r>
      <w:r>
        <w:rPr>
          <w:rFonts w:hint="eastAsia"/>
          <w:szCs w:val="32"/>
        </w:rPr>
        <w:t>，</w:t>
      </w:r>
      <w:r>
        <w:rPr>
          <w:szCs w:val="32"/>
        </w:rPr>
        <w:t>15</w:t>
      </w:r>
      <w:r>
        <w:rPr>
          <w:rFonts w:hint="eastAsia"/>
          <w:szCs w:val="32"/>
        </w:rPr>
        <w:t>～</w:t>
      </w:r>
      <w:r>
        <w:rPr>
          <w:szCs w:val="32"/>
        </w:rPr>
        <w:t>64</w:t>
      </w:r>
      <w:r>
        <w:rPr>
          <w:rFonts w:hint="eastAsia"/>
          <w:szCs w:val="32"/>
        </w:rPr>
        <w:t>岁的户籍人口性别比为</w:t>
      </w:r>
      <w:r>
        <w:rPr>
          <w:szCs w:val="32"/>
        </w:rPr>
        <w:t>101.68</w:t>
      </w:r>
      <w:r>
        <w:rPr>
          <w:rFonts w:hint="eastAsia"/>
          <w:szCs w:val="32"/>
        </w:rPr>
        <w:t>，而</w:t>
      </w:r>
      <w:r>
        <w:rPr>
          <w:szCs w:val="32"/>
        </w:rPr>
        <w:t>65</w:t>
      </w:r>
      <w:r>
        <w:rPr>
          <w:rFonts w:hint="eastAsia"/>
          <w:szCs w:val="32"/>
        </w:rPr>
        <w:t>岁及以上的户籍人口性别比为</w:t>
      </w:r>
      <w:r>
        <w:rPr>
          <w:szCs w:val="32"/>
        </w:rPr>
        <w:t>94.59</w:t>
      </w:r>
      <w:r>
        <w:rPr>
          <w:rFonts w:hint="eastAsia"/>
          <w:szCs w:val="32"/>
        </w:rPr>
        <w:t>。</w:t>
      </w:r>
    </w:p>
    <w:p>
      <w:pPr>
        <w:ind w:firstLine="640"/>
        <w:rPr>
          <w:szCs w:val="32"/>
        </w:rPr>
      </w:pPr>
    </w:p>
    <w:p>
      <w:pPr>
        <w:ind w:firstLine="640"/>
        <w:rPr>
          <w:szCs w:val="32"/>
        </w:rPr>
      </w:pPr>
      <w:r>
        <w:rPr>
          <w:szCs w:val="32"/>
        </w:rPr>
        <w:t>2016</w:t>
      </w:r>
      <w:r>
        <w:rPr>
          <w:rFonts w:hint="eastAsia"/>
          <w:szCs w:val="32"/>
        </w:rPr>
        <w:t>年，深圳市全市十个行政区（新区）的户籍人口及其性别比数据汇总如下：</w:t>
      </w:r>
    </w:p>
    <w:p>
      <w:pPr>
        <w:ind w:firstLine="640"/>
        <w:rPr>
          <w:szCs w:val="32"/>
        </w:rPr>
      </w:pPr>
    </w:p>
    <w:p>
      <w:pPr>
        <w:spacing w:line="240" w:lineRule="auto"/>
        <w:ind w:firstLine="480"/>
        <w:jc w:val="center"/>
        <w:rPr>
          <w:rFonts w:ascii="Times New Roman" w:eastAsia="黑体"/>
          <w:bCs/>
          <w:iCs/>
          <w:sz w:val="24"/>
          <w:szCs w:val="24"/>
        </w:rPr>
      </w:pPr>
      <w:r>
        <w:rPr>
          <w:rFonts w:hint="eastAsia" w:ascii="Times New Roman" w:eastAsia="黑体"/>
          <w:bCs/>
          <w:iCs/>
          <w:sz w:val="24"/>
          <w:szCs w:val="24"/>
        </w:rPr>
        <w:t>表</w:t>
      </w:r>
      <w:r>
        <w:rPr>
          <w:rFonts w:ascii="Times New Roman" w:eastAsia="黑体"/>
          <w:bCs/>
          <w:iCs/>
          <w:sz w:val="24"/>
          <w:szCs w:val="24"/>
        </w:rPr>
        <w:t>1  2016</w:t>
      </w:r>
      <w:r>
        <w:rPr>
          <w:rFonts w:hint="eastAsia" w:ascii="Times New Roman" w:eastAsia="黑体"/>
          <w:bCs/>
          <w:iCs/>
          <w:sz w:val="24"/>
          <w:szCs w:val="24"/>
        </w:rPr>
        <w:t>年深圳市各区（新区）户籍人口情况</w:t>
      </w:r>
    </w:p>
    <w:tbl>
      <w:tblPr>
        <w:tblStyle w:val="5"/>
        <w:tblW w:w="8840" w:type="dxa"/>
        <w:tblInd w:w="93" w:type="dxa"/>
        <w:tblLayout w:type="fixed"/>
        <w:tblCellMar>
          <w:top w:w="0" w:type="dxa"/>
          <w:left w:w="108" w:type="dxa"/>
          <w:bottom w:w="0" w:type="dxa"/>
          <w:right w:w="108" w:type="dxa"/>
        </w:tblCellMar>
      </w:tblPr>
      <w:tblGrid>
        <w:gridCol w:w="1180"/>
        <w:gridCol w:w="1740"/>
        <w:gridCol w:w="1740"/>
        <w:gridCol w:w="1740"/>
        <w:gridCol w:w="2440"/>
      </w:tblGrid>
      <w:tr>
        <w:tblPrEx>
          <w:tblLayout w:type="fixed"/>
          <w:tblCellMar>
            <w:top w:w="0" w:type="dxa"/>
            <w:left w:w="108" w:type="dxa"/>
            <w:bottom w:w="0" w:type="dxa"/>
            <w:right w:w="108" w:type="dxa"/>
          </w:tblCellMar>
        </w:tblPrEx>
        <w:trPr>
          <w:trHeight w:val="288" w:hRule="atLeast"/>
        </w:trPr>
        <w:tc>
          <w:tcPr>
            <w:tcW w:w="118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分区</w:t>
            </w:r>
          </w:p>
        </w:tc>
        <w:tc>
          <w:tcPr>
            <w:tcW w:w="174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户籍人口</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（万人）</w:t>
            </w:r>
          </w:p>
        </w:tc>
        <w:tc>
          <w:tcPr>
            <w:tcW w:w="174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男性人数</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（万人）</w:t>
            </w:r>
          </w:p>
        </w:tc>
        <w:tc>
          <w:tcPr>
            <w:tcW w:w="174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女性人数</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（万人）</w:t>
            </w:r>
          </w:p>
        </w:tc>
        <w:tc>
          <w:tcPr>
            <w:tcW w:w="244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户籍人口性别比</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（女=100）</w:t>
            </w:r>
          </w:p>
        </w:tc>
      </w:tr>
      <w:tr>
        <w:tblPrEx>
          <w:tblLayout w:type="fixed"/>
          <w:tblCellMar>
            <w:top w:w="0" w:type="dxa"/>
            <w:left w:w="108" w:type="dxa"/>
            <w:bottom w:w="0" w:type="dxa"/>
            <w:right w:w="108" w:type="dxa"/>
          </w:tblCellMar>
        </w:tblPrEx>
        <w:trPr>
          <w:trHeight w:val="288" w:hRule="atLeast"/>
        </w:trPr>
        <w:tc>
          <w:tcPr>
            <w:tcW w:w="1180" w:type="dxa"/>
            <w:tcBorders>
              <w:top w:val="single" w:color="auto" w:sz="4" w:space="0"/>
              <w:left w:val="nil"/>
              <w:bottom w:val="nil"/>
              <w:right w:val="nil"/>
            </w:tcBorders>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福田区</w:t>
            </w:r>
          </w:p>
        </w:tc>
        <w:tc>
          <w:tcPr>
            <w:tcW w:w="1740" w:type="dxa"/>
            <w:tcBorders>
              <w:top w:val="single" w:color="auto" w:sz="4" w:space="0"/>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98.97</w:t>
            </w:r>
          </w:p>
        </w:tc>
        <w:tc>
          <w:tcPr>
            <w:tcW w:w="1740" w:type="dxa"/>
            <w:tcBorders>
              <w:top w:val="single" w:color="auto" w:sz="4" w:space="0"/>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49.4</w:t>
            </w:r>
          </w:p>
        </w:tc>
        <w:tc>
          <w:tcPr>
            <w:tcW w:w="1740" w:type="dxa"/>
            <w:tcBorders>
              <w:top w:val="single" w:color="auto" w:sz="4" w:space="0"/>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49.57</w:t>
            </w:r>
          </w:p>
        </w:tc>
        <w:tc>
          <w:tcPr>
            <w:tcW w:w="2440" w:type="dxa"/>
            <w:tcBorders>
              <w:top w:val="single" w:color="auto" w:sz="4" w:space="0"/>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99.65</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罗湖区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61.19</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30.54</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30.65</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99.61</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盐田区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7.2</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3.62</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3.58</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101.11</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南山区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85.79</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45.55</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40.24</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113.21</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宝安区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50.94</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26.07</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24.87</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104.76</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龙岗区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59.05</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30.13</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28.92</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104.12</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龙华区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25.49</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13.22</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12.27</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107.63</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坪山区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2.87</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2.73</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105.04</w:t>
            </w:r>
          </w:p>
        </w:tc>
      </w:tr>
      <w:tr>
        <w:tblPrEx>
          <w:tblLayout w:type="fixed"/>
          <w:tblCellMar>
            <w:top w:w="0" w:type="dxa"/>
            <w:left w:w="108" w:type="dxa"/>
            <w:bottom w:w="0" w:type="dxa"/>
            <w:right w:w="108" w:type="dxa"/>
          </w:tblCellMar>
        </w:tblPrEx>
        <w:trPr>
          <w:trHeight w:val="288" w:hRule="atLeast"/>
        </w:trPr>
        <w:tc>
          <w:tcPr>
            <w:tcW w:w="1180" w:type="dxa"/>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光明新区</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6.55</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w:t>
            </w:r>
          </w:p>
        </w:tc>
        <w:tc>
          <w:tcPr>
            <w:tcW w:w="17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3.23</w:t>
            </w:r>
          </w:p>
        </w:tc>
        <w:tc>
          <w:tcPr>
            <w:tcW w:w="2440" w:type="dxa"/>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102.43</w:t>
            </w:r>
          </w:p>
        </w:tc>
      </w:tr>
      <w:tr>
        <w:tblPrEx>
          <w:tblLayout w:type="fixed"/>
          <w:tblCellMar>
            <w:top w:w="0" w:type="dxa"/>
            <w:left w:w="108" w:type="dxa"/>
            <w:bottom w:w="0" w:type="dxa"/>
            <w:right w:w="108" w:type="dxa"/>
          </w:tblCellMar>
        </w:tblPrEx>
        <w:trPr>
          <w:trHeight w:val="288" w:hRule="atLeast"/>
        </w:trPr>
        <w:tc>
          <w:tcPr>
            <w:tcW w:w="1180" w:type="dxa"/>
            <w:tcBorders>
              <w:top w:val="nil"/>
              <w:left w:val="nil"/>
              <w:bottom w:val="nil"/>
              <w:right w:val="nil"/>
            </w:tcBorders>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大鹏新区</w:t>
            </w:r>
          </w:p>
        </w:tc>
        <w:tc>
          <w:tcPr>
            <w:tcW w:w="1740" w:type="dxa"/>
            <w:tcBorders>
              <w:top w:val="nil"/>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3.97</w:t>
            </w:r>
          </w:p>
        </w:tc>
        <w:tc>
          <w:tcPr>
            <w:tcW w:w="1740" w:type="dxa"/>
            <w:tcBorders>
              <w:top w:val="nil"/>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2.13</w:t>
            </w:r>
          </w:p>
        </w:tc>
        <w:tc>
          <w:tcPr>
            <w:tcW w:w="1740" w:type="dxa"/>
            <w:tcBorders>
              <w:top w:val="nil"/>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1.84</w:t>
            </w:r>
          </w:p>
        </w:tc>
        <w:tc>
          <w:tcPr>
            <w:tcW w:w="2440" w:type="dxa"/>
            <w:tcBorders>
              <w:top w:val="nil"/>
              <w:left w:val="nil"/>
              <w:bottom w:val="nil"/>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115.02</w:t>
            </w:r>
          </w:p>
        </w:tc>
      </w:tr>
      <w:tr>
        <w:tblPrEx>
          <w:tblLayout w:type="fixed"/>
          <w:tblCellMar>
            <w:top w:w="0" w:type="dxa"/>
            <w:left w:w="108" w:type="dxa"/>
            <w:bottom w:w="0" w:type="dxa"/>
            <w:right w:w="108" w:type="dxa"/>
          </w:tblCellMar>
        </w:tblPrEx>
        <w:trPr>
          <w:trHeight w:val="288" w:hRule="atLeast"/>
        </w:trPr>
        <w:tc>
          <w:tcPr>
            <w:tcW w:w="1180" w:type="dxa"/>
            <w:tcBorders>
              <w:top w:val="nil"/>
              <w:left w:val="nil"/>
              <w:bottom w:val="single" w:color="auto" w:sz="4" w:space="0"/>
              <w:right w:val="nil"/>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740" w:type="dxa"/>
            <w:tcBorders>
              <w:top w:val="nil"/>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740" w:type="dxa"/>
            <w:tcBorders>
              <w:top w:val="nil"/>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740" w:type="dxa"/>
            <w:tcBorders>
              <w:top w:val="nil"/>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2440" w:type="dxa"/>
            <w:tcBorders>
              <w:top w:val="nil"/>
              <w:left w:val="nil"/>
              <w:bottom w:val="single" w:color="auto" w:sz="4" w:space="0"/>
              <w:right w:val="nil"/>
            </w:tcBorders>
            <w:vAlign w:val="center"/>
          </w:tcPr>
          <w:p>
            <w:pPr>
              <w:widowControl/>
              <w:spacing w:line="240" w:lineRule="auto"/>
              <w:ind w:firstLine="0" w:firstLineChars="0"/>
              <w:jc w:val="center"/>
              <w:rPr>
                <w:rFonts w:ascii="宋体" w:hAnsi="宋体" w:eastAsia="宋体" w:cs="宋体"/>
                <w:color w:val="000000"/>
                <w:kern w:val="0"/>
                <w:sz w:val="22"/>
                <w:szCs w:val="22"/>
              </w:rPr>
            </w:pPr>
          </w:p>
        </w:tc>
      </w:tr>
    </w:tbl>
    <w:p>
      <w:pPr>
        <w:keepNext/>
        <w:keepLines/>
        <w:spacing w:before="240" w:after="240" w:line="412" w:lineRule="auto"/>
        <w:ind w:firstLine="640"/>
        <w:outlineLvl w:val="1"/>
        <w:rPr>
          <w:rFonts w:ascii="黑体" w:hAnsi="黑体" w:eastAsia="黑体"/>
          <w:bCs/>
          <w:szCs w:val="32"/>
        </w:rPr>
      </w:pPr>
      <w:r>
        <w:rPr>
          <w:rFonts w:hint="eastAsia" w:ascii="黑体" w:hAnsi="黑体" w:eastAsia="黑体"/>
          <w:bCs/>
          <w:szCs w:val="32"/>
        </w:rPr>
        <w:t>1.2人口年龄结构</w:t>
      </w:r>
    </w:p>
    <w:p>
      <w:pPr>
        <w:ind w:firstLine="640"/>
        <w:rPr>
          <w:szCs w:val="32"/>
        </w:rPr>
      </w:pPr>
      <w:r>
        <w:rPr>
          <w:szCs w:val="32"/>
        </w:rPr>
        <w:t>2016</w:t>
      </w:r>
      <w:r>
        <w:rPr>
          <w:rFonts w:hint="eastAsia"/>
          <w:szCs w:val="32"/>
        </w:rPr>
        <w:t>年，深圳市</w:t>
      </w:r>
      <w:r>
        <w:rPr>
          <w:szCs w:val="32"/>
        </w:rPr>
        <w:t>18</w:t>
      </w:r>
      <w:r>
        <w:rPr>
          <w:rFonts w:hint="eastAsia"/>
          <w:szCs w:val="32"/>
        </w:rPr>
        <w:t>～</w:t>
      </w:r>
      <w:r>
        <w:rPr>
          <w:szCs w:val="32"/>
        </w:rPr>
        <w:t>64</w:t>
      </w:r>
      <w:r>
        <w:rPr>
          <w:rFonts w:hint="eastAsia"/>
          <w:szCs w:val="32"/>
        </w:rPr>
        <w:t>岁的常住人口占总人口比重为</w:t>
      </w:r>
      <w:r>
        <w:rPr>
          <w:szCs w:val="32"/>
        </w:rPr>
        <w:t>81.13 %</w:t>
      </w:r>
      <w:r>
        <w:rPr>
          <w:rFonts w:hint="eastAsia"/>
          <w:szCs w:val="32"/>
        </w:rPr>
        <w:t>，</w:t>
      </w:r>
      <w:r>
        <w:rPr>
          <w:szCs w:val="32"/>
        </w:rPr>
        <w:t>65</w:t>
      </w:r>
      <w:r>
        <w:rPr>
          <w:rFonts w:hint="eastAsia"/>
          <w:szCs w:val="32"/>
        </w:rPr>
        <w:t>岁及以上人口占比为</w:t>
      </w:r>
      <w:r>
        <w:rPr>
          <w:szCs w:val="32"/>
        </w:rPr>
        <w:t>3.27 %</w:t>
      </w:r>
      <w:r>
        <w:rPr>
          <w:rFonts w:hint="eastAsia"/>
          <w:szCs w:val="32"/>
        </w:rPr>
        <w:t>。</w:t>
      </w:r>
      <w:r>
        <w:rPr>
          <w:szCs w:val="32"/>
        </w:rPr>
        <w:t xml:space="preserve"> </w:t>
      </w:r>
    </w:p>
    <w:p>
      <w:pPr>
        <w:ind w:firstLine="640"/>
        <w:rPr>
          <w:szCs w:val="32"/>
        </w:rPr>
      </w:pPr>
      <w:r>
        <w:rPr>
          <w:szCs w:val="32"/>
        </w:rPr>
        <w:t>2016</w:t>
      </w:r>
      <w:r>
        <w:rPr>
          <w:rFonts w:hint="eastAsia"/>
          <w:szCs w:val="32"/>
        </w:rPr>
        <w:t>年，深圳市人口年龄中位数为</w:t>
      </w:r>
      <w:r>
        <w:rPr>
          <w:szCs w:val="32"/>
        </w:rPr>
        <w:t>31</w:t>
      </w:r>
      <w:r>
        <w:rPr>
          <w:rFonts w:hint="eastAsia"/>
          <w:szCs w:val="32"/>
        </w:rPr>
        <w:t>岁，其中，</w:t>
      </w:r>
      <w:r>
        <w:rPr>
          <w:szCs w:val="32"/>
        </w:rPr>
        <w:t>2016</w:t>
      </w:r>
      <w:r>
        <w:rPr>
          <w:rFonts w:hint="eastAsia"/>
          <w:szCs w:val="32"/>
        </w:rPr>
        <w:t>年，男性的年龄中位数为</w:t>
      </w:r>
      <w:r>
        <w:rPr>
          <w:szCs w:val="32"/>
        </w:rPr>
        <w:t>30.72</w:t>
      </w:r>
      <w:r>
        <w:rPr>
          <w:rFonts w:hint="eastAsia"/>
          <w:szCs w:val="32"/>
        </w:rPr>
        <w:t>岁，而女性的年龄中位数为</w:t>
      </w:r>
      <w:r>
        <w:rPr>
          <w:szCs w:val="32"/>
        </w:rPr>
        <w:t>31.31</w:t>
      </w:r>
      <w:r>
        <w:rPr>
          <w:rFonts w:hint="eastAsia"/>
          <w:szCs w:val="32"/>
        </w:rPr>
        <w:t>岁。</w:t>
      </w:r>
    </w:p>
    <w:p>
      <w:pPr>
        <w:keepNext/>
        <w:keepLines/>
        <w:spacing w:before="240" w:after="240" w:line="412" w:lineRule="auto"/>
        <w:ind w:firstLine="640"/>
        <w:outlineLvl w:val="1"/>
        <w:rPr>
          <w:rFonts w:ascii="黑体" w:hAnsi="黑体" w:eastAsia="黑体"/>
          <w:bCs/>
          <w:szCs w:val="32"/>
        </w:rPr>
      </w:pPr>
      <w:r>
        <w:rPr>
          <w:rFonts w:hint="eastAsia" w:ascii="黑体" w:hAnsi="黑体" w:eastAsia="黑体"/>
          <w:bCs/>
          <w:szCs w:val="32"/>
        </w:rPr>
        <w:t>1.3预期寿命</w:t>
      </w:r>
    </w:p>
    <w:p>
      <w:pPr>
        <w:ind w:firstLine="640"/>
        <w:rPr>
          <w:szCs w:val="32"/>
        </w:rPr>
      </w:pPr>
      <w:r>
        <w:rPr>
          <w:szCs w:val="32"/>
        </w:rPr>
        <w:t>2016</w:t>
      </w:r>
      <w:r>
        <w:rPr>
          <w:rFonts w:hint="eastAsia"/>
          <w:szCs w:val="32"/>
        </w:rPr>
        <w:t>年，深圳市人口预期寿命为</w:t>
      </w:r>
      <w:r>
        <w:rPr>
          <w:szCs w:val="32"/>
        </w:rPr>
        <w:t>82.73</w:t>
      </w:r>
      <w:r>
        <w:rPr>
          <w:rFonts w:hint="eastAsia"/>
          <w:szCs w:val="32"/>
        </w:rPr>
        <w:t>岁，其中男性平均预期寿命为</w:t>
      </w:r>
      <w:r>
        <w:rPr>
          <w:szCs w:val="32"/>
        </w:rPr>
        <w:t xml:space="preserve">80.16 </w:t>
      </w:r>
      <w:r>
        <w:rPr>
          <w:rFonts w:hint="eastAsia"/>
          <w:szCs w:val="32"/>
        </w:rPr>
        <w:t>岁，女性平均预期寿命为</w:t>
      </w:r>
      <w:r>
        <w:rPr>
          <w:szCs w:val="32"/>
        </w:rPr>
        <w:t>85.5</w:t>
      </w:r>
      <w:r>
        <w:rPr>
          <w:rFonts w:hint="eastAsia"/>
          <w:szCs w:val="32"/>
        </w:rPr>
        <w:t>岁。</w:t>
      </w: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2</w:t>
      </w:r>
      <w:r>
        <w:rPr>
          <w:rFonts w:hint="eastAsia" w:ascii="Times New Roman" w:eastAsia="黑体"/>
          <w:bCs/>
          <w:kern w:val="44"/>
          <w:sz w:val="36"/>
          <w:szCs w:val="36"/>
        </w:rPr>
        <w:t>婚姻及家庭状况</w:t>
      </w:r>
    </w:p>
    <w:p>
      <w:pPr>
        <w:ind w:firstLine="640"/>
        <w:rPr>
          <w:szCs w:val="32"/>
        </w:rPr>
      </w:pPr>
      <w:r>
        <w:rPr>
          <w:szCs w:val="32"/>
        </w:rPr>
        <w:t>2016</w:t>
      </w:r>
      <w:r>
        <w:rPr>
          <w:rFonts w:hint="eastAsia"/>
          <w:szCs w:val="32"/>
        </w:rPr>
        <w:t>年，深圳市共办理结婚登记</w:t>
      </w:r>
      <w:r>
        <w:rPr>
          <w:szCs w:val="32"/>
        </w:rPr>
        <w:t>60826</w:t>
      </w:r>
      <w:r>
        <w:rPr>
          <w:rFonts w:hint="eastAsia"/>
          <w:szCs w:val="32"/>
        </w:rPr>
        <w:t>对。</w:t>
      </w:r>
      <w:r>
        <w:rPr>
          <w:szCs w:val="32"/>
        </w:rPr>
        <w:t>2016</w:t>
      </w:r>
      <w:r>
        <w:rPr>
          <w:rFonts w:hint="eastAsia"/>
          <w:szCs w:val="32"/>
        </w:rPr>
        <w:t>年全市办理离婚登记</w:t>
      </w:r>
      <w:r>
        <w:rPr>
          <w:szCs w:val="32"/>
        </w:rPr>
        <w:t>24998</w:t>
      </w:r>
      <w:r>
        <w:rPr>
          <w:rFonts w:hint="eastAsia"/>
          <w:szCs w:val="32"/>
        </w:rPr>
        <w:t>对。</w:t>
      </w:r>
      <w:r>
        <w:rPr>
          <w:szCs w:val="32"/>
        </w:rPr>
        <w:t>2016</w:t>
      </w:r>
      <w:r>
        <w:rPr>
          <w:rFonts w:hint="eastAsia"/>
          <w:szCs w:val="32"/>
        </w:rPr>
        <w:t>年，深圳市男性和女性再婚人数为</w:t>
      </w:r>
      <w:r>
        <w:rPr>
          <w:szCs w:val="32"/>
        </w:rPr>
        <w:t>35080</w:t>
      </w:r>
      <w:r>
        <w:rPr>
          <w:rFonts w:hint="eastAsia"/>
          <w:szCs w:val="32"/>
        </w:rPr>
        <w:t>人，性别比为</w:t>
      </w:r>
      <w:r>
        <w:rPr>
          <w:szCs w:val="32"/>
        </w:rPr>
        <w:t>114.25</w:t>
      </w:r>
      <w:r>
        <w:rPr>
          <w:rFonts w:hint="eastAsia"/>
          <w:szCs w:val="32"/>
        </w:rPr>
        <w:t>。</w:t>
      </w:r>
    </w:p>
    <w:p>
      <w:pPr>
        <w:ind w:firstLine="640"/>
        <w:rPr>
          <w:szCs w:val="32"/>
        </w:rPr>
      </w:pPr>
      <w:r>
        <w:rPr>
          <w:szCs w:val="32"/>
        </w:rPr>
        <w:t>2016</w:t>
      </w:r>
      <w:r>
        <w:rPr>
          <w:rFonts w:hint="eastAsia"/>
          <w:szCs w:val="32"/>
        </w:rPr>
        <w:t>年，深圳市男性和女性再婚人数为</w:t>
      </w:r>
      <w:r>
        <w:rPr>
          <w:szCs w:val="32"/>
        </w:rPr>
        <w:t>35080</w:t>
      </w:r>
      <w:r>
        <w:rPr>
          <w:rFonts w:hint="eastAsia"/>
          <w:szCs w:val="32"/>
        </w:rPr>
        <w:t>人，性别比为</w:t>
      </w:r>
      <w:r>
        <w:rPr>
          <w:szCs w:val="32"/>
        </w:rPr>
        <w:t>114.25</w:t>
      </w:r>
      <w:r>
        <w:rPr>
          <w:rFonts w:hint="eastAsia"/>
          <w:szCs w:val="32"/>
        </w:rPr>
        <w:t>。</w:t>
      </w:r>
    </w:p>
    <w:p>
      <w:pPr>
        <w:ind w:firstLine="640"/>
        <w:rPr>
          <w:szCs w:val="32"/>
        </w:rPr>
      </w:pPr>
      <w:r>
        <w:rPr>
          <w:szCs w:val="32"/>
        </w:rPr>
        <w:t>2016</w:t>
      </w:r>
      <w:r>
        <w:rPr>
          <w:rFonts w:hint="eastAsia"/>
          <w:szCs w:val="32"/>
        </w:rPr>
        <w:t>年，深圳市已婚育龄妇女人数为</w:t>
      </w:r>
      <w:r>
        <w:rPr>
          <w:szCs w:val="32"/>
        </w:rPr>
        <w:t>105.47</w:t>
      </w:r>
      <w:r>
        <w:rPr>
          <w:rFonts w:hint="eastAsia"/>
          <w:szCs w:val="32"/>
        </w:rPr>
        <w:t>万人。</w:t>
      </w:r>
    </w:p>
    <w:p>
      <w:pPr>
        <w:ind w:firstLine="640"/>
        <w:rPr>
          <w:szCs w:val="32"/>
        </w:rPr>
      </w:pPr>
      <w:r>
        <w:rPr>
          <w:szCs w:val="32"/>
        </w:rPr>
        <w:t>2016</w:t>
      </w:r>
      <w:r>
        <w:rPr>
          <w:rFonts w:hint="eastAsia"/>
          <w:szCs w:val="32"/>
        </w:rPr>
        <w:t>年，深圳市女性房产户主为</w:t>
      </w:r>
      <w:r>
        <w:rPr>
          <w:szCs w:val="32"/>
        </w:rPr>
        <w:t>11.46</w:t>
      </w:r>
      <w:r>
        <w:rPr>
          <w:rFonts w:hint="eastAsia"/>
          <w:szCs w:val="32"/>
        </w:rPr>
        <w:t>万人，性别比为</w:t>
      </w:r>
      <w:r>
        <w:rPr>
          <w:szCs w:val="32"/>
        </w:rPr>
        <w:t>95.5</w:t>
      </w:r>
      <w:r>
        <w:rPr>
          <w:rFonts w:hint="eastAsia"/>
          <w:szCs w:val="32"/>
        </w:rPr>
        <w:t>，其中户籍人口房产户主性别比为</w:t>
      </w:r>
      <w:r>
        <w:rPr>
          <w:szCs w:val="32"/>
        </w:rPr>
        <w:t>94.29</w:t>
      </w:r>
      <w:r>
        <w:rPr>
          <w:rFonts w:hint="eastAsia"/>
          <w:szCs w:val="32"/>
        </w:rPr>
        <w:t>，非深户籍人口房产人口户口性别比为</w:t>
      </w:r>
      <w:r>
        <w:rPr>
          <w:szCs w:val="32"/>
        </w:rPr>
        <w:t>103</w:t>
      </w:r>
      <w:r>
        <w:rPr>
          <w:rFonts w:hint="eastAsia"/>
          <w:szCs w:val="32"/>
        </w:rPr>
        <w:t>。</w:t>
      </w:r>
    </w:p>
    <w:p>
      <w:pPr>
        <w:ind w:firstLine="640"/>
        <w:rPr>
          <w:szCs w:val="32"/>
        </w:rPr>
      </w:pPr>
      <w:r>
        <w:rPr>
          <w:szCs w:val="32"/>
        </w:rPr>
        <w:t>2016</w:t>
      </w:r>
      <w:r>
        <w:rPr>
          <w:rFonts w:hint="eastAsia"/>
          <w:szCs w:val="32"/>
        </w:rPr>
        <w:t>年，深圳市新增保障性住房申请户数有</w:t>
      </w:r>
      <w:r>
        <w:rPr>
          <w:szCs w:val="32"/>
        </w:rPr>
        <w:t>100480</w:t>
      </w:r>
      <w:r>
        <w:rPr>
          <w:rFonts w:hint="eastAsia"/>
          <w:szCs w:val="32"/>
        </w:rPr>
        <w:t>户，在册轮候申请者男性为</w:t>
      </w:r>
      <w:r>
        <w:rPr>
          <w:szCs w:val="32"/>
        </w:rPr>
        <w:t>105644</w:t>
      </w:r>
      <w:r>
        <w:rPr>
          <w:rFonts w:hint="eastAsia"/>
          <w:szCs w:val="32"/>
        </w:rPr>
        <w:t>人，女性为</w:t>
      </w:r>
      <w:r>
        <w:rPr>
          <w:szCs w:val="32"/>
        </w:rPr>
        <w:t>108708</w:t>
      </w:r>
      <w:r>
        <w:rPr>
          <w:rFonts w:hint="eastAsia"/>
          <w:szCs w:val="32"/>
        </w:rPr>
        <w:t>人，性别比为</w:t>
      </w:r>
      <w:r>
        <w:rPr>
          <w:szCs w:val="32"/>
        </w:rPr>
        <w:t>97.18</w:t>
      </w:r>
      <w:r>
        <w:rPr>
          <w:rFonts w:hint="eastAsia"/>
          <w:szCs w:val="32"/>
        </w:rPr>
        <w:t>。</w:t>
      </w:r>
    </w:p>
    <w:p>
      <w:pPr>
        <w:ind w:firstLine="640"/>
        <w:rPr>
          <w:szCs w:val="32"/>
        </w:rPr>
      </w:pP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3</w:t>
      </w:r>
      <w:r>
        <w:rPr>
          <w:rFonts w:hint="eastAsia" w:ascii="Times New Roman" w:eastAsia="黑体"/>
          <w:bCs/>
          <w:kern w:val="44"/>
          <w:sz w:val="36"/>
          <w:szCs w:val="36"/>
        </w:rPr>
        <w:t>文化教育</w:t>
      </w:r>
    </w:p>
    <w:p>
      <w:pPr>
        <w:keepNext/>
        <w:keepLines/>
        <w:spacing w:line="413" w:lineRule="auto"/>
        <w:ind w:firstLine="640"/>
        <w:outlineLvl w:val="1"/>
        <w:rPr>
          <w:rFonts w:ascii="黑体" w:hAnsi="黑体" w:eastAsia="黑体"/>
          <w:bCs/>
          <w:szCs w:val="32"/>
        </w:rPr>
      </w:pPr>
      <w:r>
        <w:rPr>
          <w:rFonts w:hint="eastAsia" w:ascii="黑体" w:hAnsi="黑体" w:eastAsia="黑体"/>
          <w:bCs/>
          <w:szCs w:val="32"/>
        </w:rPr>
        <w:t>3.1艺术家和运动员</w:t>
      </w:r>
    </w:p>
    <w:p>
      <w:pPr>
        <w:ind w:firstLine="640"/>
        <w:rPr>
          <w:szCs w:val="32"/>
        </w:rPr>
      </w:pPr>
      <w:r>
        <w:rPr>
          <w:szCs w:val="32"/>
        </w:rPr>
        <w:t>2016</w:t>
      </w:r>
      <w:r>
        <w:rPr>
          <w:rFonts w:hint="eastAsia"/>
          <w:szCs w:val="32"/>
        </w:rPr>
        <w:t>年，深圳市文联登记在册文学艺术家会员人数为</w:t>
      </w:r>
      <w:r>
        <w:rPr>
          <w:szCs w:val="32"/>
        </w:rPr>
        <w:t>7320</w:t>
      </w:r>
      <w:r>
        <w:rPr>
          <w:rFonts w:hint="eastAsia"/>
          <w:szCs w:val="32"/>
        </w:rPr>
        <w:t>人，其中女性为</w:t>
      </w:r>
      <w:r>
        <w:rPr>
          <w:szCs w:val="32"/>
        </w:rPr>
        <w:t>2463</w:t>
      </w:r>
      <w:r>
        <w:rPr>
          <w:rFonts w:hint="eastAsia"/>
          <w:szCs w:val="32"/>
        </w:rPr>
        <w:t>人，性别比为</w:t>
      </w:r>
      <w:r>
        <w:rPr>
          <w:szCs w:val="32"/>
        </w:rPr>
        <w:t>197.2</w:t>
      </w:r>
      <w:r>
        <w:rPr>
          <w:rFonts w:hint="eastAsia"/>
          <w:szCs w:val="32"/>
        </w:rPr>
        <w:t>。文联所属各个协会的登记在册会员人数及性别比情况如下：</w:t>
      </w:r>
    </w:p>
    <w:p>
      <w:pPr>
        <w:ind w:firstLine="640"/>
        <w:rPr>
          <w:szCs w:val="32"/>
        </w:rPr>
      </w:pPr>
    </w:p>
    <w:p>
      <w:pPr>
        <w:ind w:firstLine="640"/>
        <w:rPr>
          <w:szCs w:val="32"/>
        </w:rPr>
      </w:pPr>
    </w:p>
    <w:p>
      <w:pPr>
        <w:ind w:firstLine="0" w:firstLineChars="0"/>
        <w:rPr>
          <w:szCs w:val="32"/>
        </w:rPr>
      </w:pPr>
    </w:p>
    <w:p>
      <w:pPr>
        <w:ind w:firstLine="0" w:firstLineChars="0"/>
        <w:rPr>
          <w:szCs w:val="32"/>
        </w:rPr>
      </w:pPr>
    </w:p>
    <w:p>
      <w:pPr>
        <w:spacing w:line="240" w:lineRule="auto"/>
        <w:ind w:firstLine="480"/>
        <w:jc w:val="center"/>
        <w:rPr>
          <w:rFonts w:ascii="Times New Roman"/>
          <w:szCs w:val="32"/>
        </w:rPr>
      </w:pPr>
      <w:r>
        <w:rPr>
          <w:rFonts w:hint="eastAsia" w:ascii="Times New Roman" w:eastAsia="黑体"/>
          <w:bCs/>
          <w:iCs/>
          <w:sz w:val="24"/>
          <w:szCs w:val="24"/>
        </w:rPr>
        <w:t>表</w:t>
      </w:r>
      <w:r>
        <w:rPr>
          <w:rFonts w:ascii="Times New Roman" w:eastAsia="黑体"/>
          <w:bCs/>
          <w:iCs/>
          <w:sz w:val="24"/>
          <w:szCs w:val="24"/>
        </w:rPr>
        <w:t>2  2016</w:t>
      </w:r>
      <w:r>
        <w:rPr>
          <w:rFonts w:hint="eastAsia" w:ascii="Times New Roman" w:eastAsia="黑体"/>
          <w:bCs/>
          <w:iCs/>
          <w:sz w:val="24"/>
          <w:szCs w:val="24"/>
        </w:rPr>
        <w:t>年深圳市文联所属</w:t>
      </w:r>
      <w:r>
        <w:rPr>
          <w:rFonts w:ascii="Times New Roman" w:eastAsia="黑体"/>
          <w:bCs/>
          <w:iCs/>
          <w:sz w:val="24"/>
          <w:szCs w:val="24"/>
        </w:rPr>
        <w:t>12</w:t>
      </w:r>
      <w:r>
        <w:rPr>
          <w:rFonts w:hint="eastAsia" w:ascii="Times New Roman" w:eastAsia="黑体"/>
          <w:bCs/>
          <w:iCs/>
          <w:sz w:val="24"/>
          <w:szCs w:val="24"/>
        </w:rPr>
        <w:t>个协会会员情况</w:t>
      </w:r>
    </w:p>
    <w:tbl>
      <w:tblPr>
        <w:tblStyle w:val="5"/>
        <w:tblW w:w="9500" w:type="dxa"/>
        <w:tblInd w:w="93" w:type="dxa"/>
        <w:tblLayout w:type="fixed"/>
        <w:tblCellMar>
          <w:top w:w="0" w:type="dxa"/>
          <w:left w:w="108" w:type="dxa"/>
          <w:bottom w:w="0" w:type="dxa"/>
          <w:right w:w="108" w:type="dxa"/>
        </w:tblCellMar>
      </w:tblPr>
      <w:tblGrid>
        <w:gridCol w:w="1840"/>
        <w:gridCol w:w="1740"/>
        <w:gridCol w:w="1740"/>
        <w:gridCol w:w="1641"/>
        <w:gridCol w:w="2539"/>
      </w:tblGrid>
      <w:tr>
        <w:tblPrEx>
          <w:tblLayout w:type="fixed"/>
          <w:tblCellMar>
            <w:top w:w="0" w:type="dxa"/>
            <w:left w:w="108" w:type="dxa"/>
            <w:bottom w:w="0" w:type="dxa"/>
            <w:right w:w="108" w:type="dxa"/>
          </w:tblCellMar>
        </w:tblPrEx>
        <w:trPr>
          <w:trHeight w:val="567" w:hRule="exact"/>
          <w:tblHeader/>
        </w:trPr>
        <w:tc>
          <w:tcPr>
            <w:tcW w:w="184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协会</w:t>
            </w:r>
          </w:p>
        </w:tc>
        <w:tc>
          <w:tcPr>
            <w:tcW w:w="174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会员人数（人）</w:t>
            </w:r>
          </w:p>
        </w:tc>
        <w:tc>
          <w:tcPr>
            <w:tcW w:w="174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男性人数（人）</w:t>
            </w:r>
          </w:p>
        </w:tc>
        <w:tc>
          <w:tcPr>
            <w:tcW w:w="1641"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女性人数（人）</w:t>
            </w:r>
          </w:p>
        </w:tc>
        <w:tc>
          <w:tcPr>
            <w:tcW w:w="2539"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会员性别比（女</w:t>
            </w:r>
            <w:r>
              <w:rPr>
                <w:rFonts w:hAnsi="宋体" w:cs="宋体"/>
                <w:color w:val="000000"/>
                <w:kern w:val="0"/>
                <w:sz w:val="22"/>
                <w:szCs w:val="22"/>
              </w:rPr>
              <w:t>=100）</w:t>
            </w:r>
          </w:p>
        </w:tc>
      </w:tr>
      <w:tr>
        <w:tblPrEx>
          <w:tblLayout w:type="fixed"/>
          <w:tblCellMar>
            <w:top w:w="0" w:type="dxa"/>
            <w:left w:w="108" w:type="dxa"/>
            <w:bottom w:w="0" w:type="dxa"/>
            <w:right w:w="108" w:type="dxa"/>
          </w:tblCellMar>
        </w:tblPrEx>
        <w:trPr>
          <w:trHeight w:val="567" w:hRule="exact"/>
          <w:tblHeader/>
        </w:trPr>
        <w:tc>
          <w:tcPr>
            <w:tcW w:w="1840" w:type="dxa"/>
            <w:tcBorders>
              <w:top w:val="single" w:color="auto" w:sz="4" w:space="0"/>
              <w:left w:val="nil"/>
              <w:bottom w:val="nil"/>
              <w:right w:val="nil"/>
            </w:tcBorders>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作家协会</w:t>
            </w:r>
          </w:p>
        </w:tc>
        <w:tc>
          <w:tcPr>
            <w:tcW w:w="174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1465</w:t>
            </w:r>
          </w:p>
        </w:tc>
        <w:tc>
          <w:tcPr>
            <w:tcW w:w="174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931</w:t>
            </w:r>
          </w:p>
        </w:tc>
        <w:tc>
          <w:tcPr>
            <w:tcW w:w="1641"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534</w:t>
            </w:r>
          </w:p>
        </w:tc>
        <w:tc>
          <w:tcPr>
            <w:tcW w:w="2539"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174.34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戏剧家协会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420</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256</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164</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156.10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电影电视家协会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269</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178</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91</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195.60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音乐家协会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1102</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584</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518</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112.74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舞蹈家协会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596</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266</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330</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80.61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美术家协会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1304</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985</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319</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308.78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书法家协会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691</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614</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77</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797.40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民间文艺家协会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217</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146</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71</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205.63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文艺评论家协会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145</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107</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38</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281.58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摄影家协会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642</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487</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155</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314.19 </w:t>
            </w:r>
          </w:p>
        </w:tc>
      </w:tr>
      <w:tr>
        <w:tblPrEx>
          <w:tblLayout w:type="fixed"/>
          <w:tblCellMar>
            <w:top w:w="0" w:type="dxa"/>
            <w:left w:w="108" w:type="dxa"/>
            <w:bottom w:w="0" w:type="dxa"/>
            <w:right w:w="108" w:type="dxa"/>
          </w:tblCellMar>
        </w:tblPrEx>
        <w:trPr>
          <w:trHeight w:val="567" w:hRule="exact"/>
          <w:tblHeader/>
        </w:trPr>
        <w:tc>
          <w:tcPr>
            <w:tcW w:w="1840" w:type="dxa"/>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杂技家协会</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350</w:t>
            </w:r>
          </w:p>
        </w:tc>
        <w:tc>
          <w:tcPr>
            <w:tcW w:w="174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218</w:t>
            </w:r>
          </w:p>
        </w:tc>
        <w:tc>
          <w:tcPr>
            <w:tcW w:w="1641"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132</w:t>
            </w:r>
          </w:p>
        </w:tc>
        <w:tc>
          <w:tcPr>
            <w:tcW w:w="2539"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165.15 </w:t>
            </w:r>
          </w:p>
        </w:tc>
      </w:tr>
      <w:tr>
        <w:tblPrEx>
          <w:tblLayout w:type="fixed"/>
          <w:tblCellMar>
            <w:top w:w="0" w:type="dxa"/>
            <w:left w:w="108" w:type="dxa"/>
            <w:bottom w:w="0" w:type="dxa"/>
            <w:right w:w="108" w:type="dxa"/>
          </w:tblCellMar>
        </w:tblPrEx>
        <w:trPr>
          <w:trHeight w:val="567" w:hRule="exact"/>
          <w:tblHeader/>
        </w:trPr>
        <w:tc>
          <w:tcPr>
            <w:tcW w:w="1840" w:type="dxa"/>
            <w:tcBorders>
              <w:top w:val="nil"/>
              <w:left w:val="nil"/>
              <w:bottom w:val="single" w:color="auto" w:sz="4" w:space="0"/>
              <w:right w:val="nil"/>
            </w:tcBorders>
            <w:vAlign w:val="center"/>
          </w:tcPr>
          <w:p>
            <w:pPr>
              <w:widowControl/>
              <w:spacing w:line="240" w:lineRule="auto"/>
              <w:ind w:firstLine="0" w:firstLineChars="0"/>
              <w:jc w:val="left"/>
              <w:rPr>
                <w:rFonts w:hAnsi="宋体" w:cs="宋体"/>
                <w:color w:val="000000"/>
                <w:kern w:val="0"/>
                <w:sz w:val="22"/>
                <w:szCs w:val="22"/>
              </w:rPr>
            </w:pPr>
            <w:r>
              <w:rPr>
                <w:rFonts w:hint="eastAsia" w:hAnsi="宋体" w:cs="宋体"/>
                <w:color w:val="000000"/>
                <w:kern w:val="0"/>
                <w:sz w:val="22"/>
                <w:szCs w:val="22"/>
              </w:rPr>
              <w:t>曲艺家协会</w:t>
            </w:r>
          </w:p>
        </w:tc>
        <w:tc>
          <w:tcPr>
            <w:tcW w:w="174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119</w:t>
            </w:r>
          </w:p>
        </w:tc>
        <w:tc>
          <w:tcPr>
            <w:tcW w:w="174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85</w:t>
            </w:r>
          </w:p>
        </w:tc>
        <w:tc>
          <w:tcPr>
            <w:tcW w:w="1641"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34</w:t>
            </w:r>
          </w:p>
        </w:tc>
        <w:tc>
          <w:tcPr>
            <w:tcW w:w="2539"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 xml:space="preserve">250.00 </w:t>
            </w:r>
          </w:p>
        </w:tc>
      </w:tr>
    </w:tbl>
    <w:p>
      <w:pPr>
        <w:ind w:firstLine="640"/>
        <w:rPr>
          <w:szCs w:val="32"/>
        </w:rPr>
      </w:pPr>
      <w:r>
        <w:rPr>
          <w:szCs w:val="32"/>
        </w:rPr>
        <w:t>2016</w:t>
      </w:r>
      <w:r>
        <w:rPr>
          <w:rFonts w:hint="eastAsia"/>
          <w:szCs w:val="32"/>
        </w:rPr>
        <w:t>年，深圳市在册运动员</w:t>
      </w:r>
      <w:r>
        <w:rPr>
          <w:szCs w:val="32"/>
        </w:rPr>
        <w:t>15212</w:t>
      </w:r>
      <w:r>
        <w:rPr>
          <w:rFonts w:hint="eastAsia"/>
          <w:szCs w:val="32"/>
        </w:rPr>
        <w:t>人，性别比为</w:t>
      </w:r>
      <w:r>
        <w:rPr>
          <w:szCs w:val="32"/>
        </w:rPr>
        <w:t>159.55</w:t>
      </w:r>
      <w:r>
        <w:rPr>
          <w:rFonts w:hint="eastAsia"/>
          <w:szCs w:val="32"/>
        </w:rPr>
        <w:t>。其中，在国家级运动队训练的深圳籍运动员人数为</w:t>
      </w:r>
      <w:r>
        <w:rPr>
          <w:szCs w:val="32"/>
        </w:rPr>
        <w:t>27</w:t>
      </w:r>
      <w:r>
        <w:rPr>
          <w:rFonts w:hint="eastAsia"/>
          <w:szCs w:val="32"/>
        </w:rPr>
        <w:t>人，国家级运动员性别比为</w:t>
      </w:r>
      <w:r>
        <w:rPr>
          <w:szCs w:val="32"/>
        </w:rPr>
        <w:t>125</w:t>
      </w:r>
      <w:r>
        <w:rPr>
          <w:rFonts w:hint="eastAsia"/>
          <w:szCs w:val="32"/>
        </w:rPr>
        <w:t>。</w:t>
      </w:r>
      <w:r>
        <w:rPr>
          <w:szCs w:val="32"/>
        </w:rPr>
        <w:t xml:space="preserve"> </w:t>
      </w:r>
    </w:p>
    <w:p>
      <w:pPr>
        <w:keepNext/>
        <w:keepLines/>
        <w:spacing w:line="413" w:lineRule="auto"/>
        <w:ind w:firstLine="640"/>
        <w:outlineLvl w:val="1"/>
        <w:rPr>
          <w:rFonts w:ascii="黑体" w:hAnsi="黑体" w:eastAsia="黑体"/>
          <w:bCs/>
          <w:szCs w:val="32"/>
        </w:rPr>
      </w:pPr>
      <w:r>
        <w:rPr>
          <w:rFonts w:hint="eastAsia" w:ascii="黑体" w:hAnsi="黑体" w:eastAsia="黑体"/>
          <w:bCs/>
          <w:szCs w:val="32"/>
        </w:rPr>
        <w:t>3.2教育</w:t>
      </w:r>
    </w:p>
    <w:p>
      <w:pPr>
        <w:ind w:firstLine="640"/>
        <w:rPr>
          <w:szCs w:val="32"/>
        </w:rPr>
      </w:pPr>
      <w:r>
        <w:rPr>
          <w:szCs w:val="32"/>
        </w:rPr>
        <w:t>2016</w:t>
      </w:r>
      <w:r>
        <w:rPr>
          <w:rFonts w:hint="eastAsia"/>
          <w:szCs w:val="32"/>
        </w:rPr>
        <w:t>年，深圳市女性、男性小学学龄儿童净入学率为</w:t>
      </w:r>
      <w:r>
        <w:rPr>
          <w:szCs w:val="32"/>
        </w:rPr>
        <w:t>100%</w:t>
      </w:r>
      <w:r>
        <w:rPr>
          <w:rFonts w:hint="eastAsia"/>
          <w:szCs w:val="32"/>
        </w:rPr>
        <w:t>，女性、男性学前三年毛入园率均超过</w:t>
      </w:r>
      <w:r>
        <w:rPr>
          <w:szCs w:val="32"/>
        </w:rPr>
        <w:t>100%</w:t>
      </w:r>
      <w:r>
        <w:rPr>
          <w:rFonts w:hint="eastAsia"/>
          <w:szCs w:val="32"/>
        </w:rPr>
        <w:t>。</w:t>
      </w:r>
    </w:p>
    <w:p>
      <w:pPr>
        <w:ind w:firstLine="640"/>
        <w:rPr>
          <w:szCs w:val="32"/>
        </w:rPr>
      </w:pPr>
      <w:r>
        <w:rPr>
          <w:szCs w:val="32"/>
        </w:rPr>
        <w:t>2016</w:t>
      </w:r>
      <w:r>
        <w:rPr>
          <w:rFonts w:hint="eastAsia"/>
          <w:szCs w:val="32"/>
        </w:rPr>
        <w:t>年，深圳市幼儿园在校学生性别比为</w:t>
      </w:r>
      <w:r>
        <w:rPr>
          <w:szCs w:val="32"/>
        </w:rPr>
        <w:t>119.34</w:t>
      </w:r>
      <w:r>
        <w:rPr>
          <w:rFonts w:hint="eastAsia"/>
          <w:szCs w:val="32"/>
        </w:rPr>
        <w:t>，小学在校学生性别比为</w:t>
      </w:r>
      <w:r>
        <w:rPr>
          <w:szCs w:val="32"/>
        </w:rPr>
        <w:t>126.91</w:t>
      </w:r>
      <w:r>
        <w:rPr>
          <w:rFonts w:hint="eastAsia"/>
          <w:szCs w:val="32"/>
        </w:rPr>
        <w:t>，中学在校学生性别比为</w:t>
      </w:r>
      <w:r>
        <w:rPr>
          <w:szCs w:val="32"/>
        </w:rPr>
        <w:t>127.48</w:t>
      </w:r>
      <w:r>
        <w:rPr>
          <w:rFonts w:hint="eastAsia"/>
          <w:szCs w:val="32"/>
        </w:rPr>
        <w:t>。全市各个区（新区）各教育阶段在校学生性别比情况如下：</w:t>
      </w:r>
    </w:p>
    <w:p>
      <w:pPr>
        <w:spacing w:line="240" w:lineRule="auto"/>
        <w:ind w:firstLine="480"/>
        <w:jc w:val="center"/>
        <w:rPr>
          <w:rFonts w:ascii="Times New Roman" w:eastAsia="黑体"/>
          <w:bCs/>
          <w:iCs/>
          <w:sz w:val="24"/>
          <w:szCs w:val="24"/>
        </w:rPr>
      </w:pPr>
    </w:p>
    <w:p>
      <w:pPr>
        <w:spacing w:line="240" w:lineRule="auto"/>
        <w:ind w:firstLine="480"/>
        <w:jc w:val="center"/>
        <w:rPr>
          <w:rFonts w:ascii="Times New Roman"/>
          <w:szCs w:val="32"/>
        </w:rPr>
      </w:pPr>
      <w:r>
        <w:rPr>
          <w:rFonts w:hint="eastAsia" w:ascii="Times New Roman" w:eastAsia="黑体"/>
          <w:bCs/>
          <w:iCs/>
          <w:sz w:val="24"/>
          <w:szCs w:val="24"/>
        </w:rPr>
        <w:t>表</w:t>
      </w:r>
      <w:r>
        <w:rPr>
          <w:rFonts w:ascii="Times New Roman" w:eastAsia="黑体"/>
          <w:bCs/>
          <w:iCs/>
          <w:sz w:val="24"/>
          <w:szCs w:val="24"/>
        </w:rPr>
        <w:t>3  2016</w:t>
      </w:r>
      <w:r>
        <w:rPr>
          <w:rFonts w:hint="eastAsia" w:ascii="Times New Roman" w:eastAsia="黑体"/>
          <w:bCs/>
          <w:iCs/>
          <w:sz w:val="24"/>
          <w:szCs w:val="24"/>
        </w:rPr>
        <w:t>年深圳市各区（新区）教育阶段在校学生性别比情况</w:t>
      </w:r>
    </w:p>
    <w:tbl>
      <w:tblPr>
        <w:tblStyle w:val="5"/>
        <w:tblW w:w="8140" w:type="dxa"/>
        <w:jc w:val="center"/>
        <w:tblInd w:w="0" w:type="dxa"/>
        <w:tblLayout w:type="fixed"/>
        <w:tblCellMar>
          <w:top w:w="0" w:type="dxa"/>
          <w:left w:w="108" w:type="dxa"/>
          <w:bottom w:w="0" w:type="dxa"/>
          <w:right w:w="108" w:type="dxa"/>
        </w:tblCellMar>
      </w:tblPr>
      <w:tblGrid>
        <w:gridCol w:w="1300"/>
        <w:gridCol w:w="2280"/>
        <w:gridCol w:w="2280"/>
        <w:gridCol w:w="2280"/>
      </w:tblGrid>
      <w:tr>
        <w:tblPrEx>
          <w:tblLayout w:type="fixed"/>
          <w:tblCellMar>
            <w:top w:w="0" w:type="dxa"/>
            <w:left w:w="108" w:type="dxa"/>
            <w:bottom w:w="0" w:type="dxa"/>
            <w:right w:w="108" w:type="dxa"/>
          </w:tblCellMar>
        </w:tblPrEx>
        <w:trPr>
          <w:trHeight w:val="624" w:hRule="atLeast"/>
          <w:jc w:val="center"/>
        </w:trPr>
        <w:tc>
          <w:tcPr>
            <w:tcW w:w="130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行政区</w:t>
            </w:r>
          </w:p>
        </w:tc>
        <w:tc>
          <w:tcPr>
            <w:tcW w:w="228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幼儿园在校学生性别比（女</w:t>
            </w:r>
            <w:r>
              <w:rPr>
                <w:rFonts w:hAnsi="宋体" w:cs="宋体"/>
                <w:color w:val="000000"/>
                <w:kern w:val="0"/>
                <w:sz w:val="22"/>
                <w:szCs w:val="22"/>
              </w:rPr>
              <w:t>=100）</w:t>
            </w:r>
          </w:p>
        </w:tc>
        <w:tc>
          <w:tcPr>
            <w:tcW w:w="228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小学在校学生性别比（女</w:t>
            </w:r>
            <w:r>
              <w:rPr>
                <w:rFonts w:hAnsi="宋体" w:cs="宋体"/>
                <w:color w:val="000000"/>
                <w:kern w:val="0"/>
                <w:sz w:val="22"/>
                <w:szCs w:val="22"/>
              </w:rPr>
              <w:t>=100）</w:t>
            </w:r>
          </w:p>
        </w:tc>
        <w:tc>
          <w:tcPr>
            <w:tcW w:w="228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中学在校学生性别比（女</w:t>
            </w:r>
            <w:r>
              <w:rPr>
                <w:rFonts w:hAnsi="宋体" w:cs="宋体"/>
                <w:color w:val="000000"/>
                <w:kern w:val="0"/>
                <w:sz w:val="22"/>
                <w:szCs w:val="22"/>
              </w:rPr>
              <w:t>=100）</w:t>
            </w:r>
          </w:p>
        </w:tc>
      </w:tr>
      <w:tr>
        <w:tblPrEx>
          <w:tblLayout w:type="fixed"/>
          <w:tblCellMar>
            <w:top w:w="0" w:type="dxa"/>
            <w:left w:w="108" w:type="dxa"/>
            <w:bottom w:w="0" w:type="dxa"/>
            <w:right w:w="108" w:type="dxa"/>
          </w:tblCellMar>
        </w:tblPrEx>
        <w:trPr>
          <w:trHeight w:val="454" w:hRule="exact"/>
          <w:jc w:val="center"/>
        </w:trPr>
        <w:tc>
          <w:tcPr>
            <w:tcW w:w="130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福田区</w:t>
            </w:r>
          </w:p>
        </w:tc>
        <w:tc>
          <w:tcPr>
            <w:tcW w:w="228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111.99</w:t>
            </w:r>
          </w:p>
        </w:tc>
        <w:tc>
          <w:tcPr>
            <w:tcW w:w="228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118.11</w:t>
            </w:r>
          </w:p>
        </w:tc>
        <w:tc>
          <w:tcPr>
            <w:tcW w:w="228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117.1</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罗湖区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126.68</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121.51</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114.87</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盐田区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106.4</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131.5</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121.76</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南山区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114.47</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122.06</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114.65</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宝安区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119.51</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131.15</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132.53</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龙岗区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119.01</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126.73</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129.7</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龙华区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122.64</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128.21</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132.75</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坪山区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126.64</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133.15</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131.92</w:t>
            </w:r>
          </w:p>
        </w:tc>
      </w:tr>
      <w:tr>
        <w:tblPrEx>
          <w:tblLayout w:type="fixed"/>
          <w:tblCellMar>
            <w:top w:w="0" w:type="dxa"/>
            <w:left w:w="108" w:type="dxa"/>
            <w:bottom w:w="0" w:type="dxa"/>
            <w:right w:w="108" w:type="dxa"/>
          </w:tblCellMar>
        </w:tblPrEx>
        <w:trPr>
          <w:trHeight w:val="454" w:hRule="exact"/>
          <w:jc w:val="center"/>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光明新区</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123.09</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138.08</w:t>
            </w:r>
          </w:p>
        </w:tc>
        <w:tc>
          <w:tcPr>
            <w:tcW w:w="228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139.5</w:t>
            </w:r>
          </w:p>
        </w:tc>
      </w:tr>
      <w:tr>
        <w:tblPrEx>
          <w:tblLayout w:type="fixed"/>
          <w:tblCellMar>
            <w:top w:w="0" w:type="dxa"/>
            <w:left w:w="108" w:type="dxa"/>
            <w:bottom w:w="0" w:type="dxa"/>
            <w:right w:w="108" w:type="dxa"/>
          </w:tblCellMar>
        </w:tblPrEx>
        <w:trPr>
          <w:trHeight w:val="454" w:hRule="exact"/>
          <w:jc w:val="center"/>
        </w:trPr>
        <w:tc>
          <w:tcPr>
            <w:tcW w:w="130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大鹏新区</w:t>
            </w:r>
          </w:p>
        </w:tc>
        <w:tc>
          <w:tcPr>
            <w:tcW w:w="228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136.04</w:t>
            </w:r>
          </w:p>
        </w:tc>
        <w:tc>
          <w:tcPr>
            <w:tcW w:w="228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126.32</w:t>
            </w:r>
          </w:p>
        </w:tc>
        <w:tc>
          <w:tcPr>
            <w:tcW w:w="228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150.6</w:t>
            </w:r>
          </w:p>
        </w:tc>
      </w:tr>
    </w:tbl>
    <w:p>
      <w:pPr>
        <w:ind w:firstLine="640"/>
        <w:rPr>
          <w:szCs w:val="32"/>
        </w:rPr>
      </w:pPr>
    </w:p>
    <w:p>
      <w:pPr>
        <w:ind w:firstLine="640"/>
        <w:rPr>
          <w:szCs w:val="32"/>
        </w:rPr>
      </w:pPr>
      <w:r>
        <w:rPr>
          <w:szCs w:val="32"/>
        </w:rPr>
        <w:t>2016</w:t>
      </w:r>
      <w:r>
        <w:rPr>
          <w:rFonts w:hint="eastAsia"/>
          <w:szCs w:val="32"/>
        </w:rPr>
        <w:t>年，深圳市幼儿园教师性别比为</w:t>
      </w:r>
      <w:r>
        <w:rPr>
          <w:szCs w:val="32"/>
        </w:rPr>
        <w:t>1.42</w:t>
      </w:r>
      <w:r>
        <w:rPr>
          <w:rFonts w:hint="eastAsia"/>
          <w:szCs w:val="32"/>
        </w:rPr>
        <w:t>，小学教师性别比为</w:t>
      </w:r>
      <w:r>
        <w:rPr>
          <w:szCs w:val="32"/>
        </w:rPr>
        <w:t>32.02</w:t>
      </w:r>
      <w:r>
        <w:rPr>
          <w:rFonts w:hint="eastAsia"/>
          <w:szCs w:val="32"/>
        </w:rPr>
        <w:t>，中学教师性别比为</w:t>
      </w:r>
      <w:r>
        <w:rPr>
          <w:szCs w:val="32"/>
        </w:rPr>
        <w:t>77.18</w:t>
      </w:r>
      <w:r>
        <w:rPr>
          <w:rFonts w:hint="eastAsia"/>
          <w:szCs w:val="32"/>
        </w:rPr>
        <w:t>。全市各个区（新区）各教育阶段教师性别比情况如下：</w:t>
      </w:r>
    </w:p>
    <w:p>
      <w:pPr>
        <w:spacing w:line="240" w:lineRule="auto"/>
        <w:ind w:firstLine="480"/>
        <w:jc w:val="center"/>
        <w:rPr>
          <w:rFonts w:ascii="Times New Roman"/>
          <w:szCs w:val="32"/>
        </w:rPr>
      </w:pPr>
      <w:r>
        <w:rPr>
          <w:rFonts w:hint="eastAsia" w:ascii="Times New Roman" w:eastAsia="黑体"/>
          <w:bCs/>
          <w:iCs/>
          <w:sz w:val="24"/>
          <w:szCs w:val="24"/>
        </w:rPr>
        <w:t>表</w:t>
      </w:r>
      <w:r>
        <w:rPr>
          <w:rFonts w:ascii="Times New Roman" w:eastAsia="黑体"/>
          <w:bCs/>
          <w:iCs/>
          <w:sz w:val="24"/>
          <w:szCs w:val="24"/>
        </w:rPr>
        <w:t>4  2016</w:t>
      </w:r>
      <w:r>
        <w:rPr>
          <w:rFonts w:hint="eastAsia" w:ascii="Times New Roman" w:eastAsia="黑体"/>
          <w:bCs/>
          <w:iCs/>
          <w:sz w:val="24"/>
          <w:szCs w:val="24"/>
        </w:rPr>
        <w:t>年深圳市各区（新区）教育阶段教师性别比情况</w:t>
      </w:r>
    </w:p>
    <w:tbl>
      <w:tblPr>
        <w:tblStyle w:val="5"/>
        <w:tblW w:w="8560" w:type="dxa"/>
        <w:tblInd w:w="93" w:type="dxa"/>
        <w:tblLayout w:type="fixed"/>
        <w:tblCellMar>
          <w:top w:w="0" w:type="dxa"/>
          <w:left w:w="108" w:type="dxa"/>
          <w:bottom w:w="0" w:type="dxa"/>
          <w:right w:w="108" w:type="dxa"/>
        </w:tblCellMar>
      </w:tblPr>
      <w:tblGrid>
        <w:gridCol w:w="1300"/>
        <w:gridCol w:w="2420"/>
        <w:gridCol w:w="2420"/>
        <w:gridCol w:w="2420"/>
      </w:tblGrid>
      <w:tr>
        <w:tblPrEx>
          <w:tblLayout w:type="fixed"/>
          <w:tblCellMar>
            <w:top w:w="0" w:type="dxa"/>
            <w:left w:w="108" w:type="dxa"/>
            <w:bottom w:w="0" w:type="dxa"/>
            <w:right w:w="108" w:type="dxa"/>
          </w:tblCellMar>
        </w:tblPrEx>
        <w:trPr>
          <w:trHeight w:val="552" w:hRule="atLeast"/>
        </w:trPr>
        <w:tc>
          <w:tcPr>
            <w:tcW w:w="130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行政区</w:t>
            </w:r>
          </w:p>
        </w:tc>
        <w:tc>
          <w:tcPr>
            <w:tcW w:w="242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幼儿园教师性别比</w:t>
            </w:r>
          </w:p>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（女</w:t>
            </w:r>
            <w:r>
              <w:rPr>
                <w:rFonts w:hAnsi="宋体" w:cs="宋体"/>
                <w:color w:val="000000"/>
                <w:kern w:val="0"/>
                <w:sz w:val="22"/>
                <w:szCs w:val="22"/>
              </w:rPr>
              <w:t>=100）</w:t>
            </w:r>
          </w:p>
        </w:tc>
        <w:tc>
          <w:tcPr>
            <w:tcW w:w="242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小学教师性别比</w:t>
            </w:r>
          </w:p>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（女</w:t>
            </w:r>
            <w:r>
              <w:rPr>
                <w:rFonts w:hAnsi="宋体" w:cs="宋体"/>
                <w:color w:val="000000"/>
                <w:kern w:val="0"/>
                <w:sz w:val="22"/>
                <w:szCs w:val="22"/>
              </w:rPr>
              <w:t>=100）</w:t>
            </w:r>
          </w:p>
        </w:tc>
        <w:tc>
          <w:tcPr>
            <w:tcW w:w="2420" w:type="dxa"/>
            <w:tcBorders>
              <w:top w:val="single" w:color="auto" w:sz="4" w:space="0"/>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中学教师性别比</w:t>
            </w:r>
          </w:p>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（女</w:t>
            </w:r>
            <w:r>
              <w:rPr>
                <w:rFonts w:hAnsi="宋体" w:cs="宋体"/>
                <w:color w:val="000000"/>
                <w:kern w:val="0"/>
                <w:sz w:val="22"/>
                <w:szCs w:val="22"/>
              </w:rPr>
              <w:t>=100）</w:t>
            </w:r>
          </w:p>
        </w:tc>
      </w:tr>
      <w:tr>
        <w:tblPrEx>
          <w:tblLayout w:type="fixed"/>
          <w:tblCellMar>
            <w:top w:w="0" w:type="dxa"/>
            <w:left w:w="108" w:type="dxa"/>
            <w:bottom w:w="0" w:type="dxa"/>
            <w:right w:w="108" w:type="dxa"/>
          </w:tblCellMar>
        </w:tblPrEx>
        <w:trPr>
          <w:trHeight w:val="454" w:hRule="exact"/>
        </w:trPr>
        <w:tc>
          <w:tcPr>
            <w:tcW w:w="130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福田区</w:t>
            </w:r>
          </w:p>
        </w:tc>
        <w:tc>
          <w:tcPr>
            <w:tcW w:w="242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2.95</w:t>
            </w:r>
          </w:p>
        </w:tc>
        <w:tc>
          <w:tcPr>
            <w:tcW w:w="242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29.26</w:t>
            </w:r>
          </w:p>
        </w:tc>
        <w:tc>
          <w:tcPr>
            <w:tcW w:w="2420" w:type="dxa"/>
            <w:tcBorders>
              <w:top w:val="single" w:color="auto" w:sz="4" w:space="0"/>
              <w:left w:val="nil"/>
              <w:bottom w:val="nil"/>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69.25</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罗湖区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0.86</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34.01</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67.32</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盐田区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1.26</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34.81</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75.51</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南山区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1.6</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27.38</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66.1</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宝安区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0.63</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31.6</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80.19</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龙岗区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2.06</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33.54</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75.23</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龙华区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0.38</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30.25</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76.96</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坪山区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0.83</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36.74</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83.7</w:t>
            </w:r>
          </w:p>
        </w:tc>
      </w:tr>
      <w:tr>
        <w:tblPrEx>
          <w:tblLayout w:type="fixed"/>
          <w:tblCellMar>
            <w:top w:w="0" w:type="dxa"/>
            <w:left w:w="108" w:type="dxa"/>
            <w:bottom w:w="0" w:type="dxa"/>
            <w:right w:w="108" w:type="dxa"/>
          </w:tblCellMar>
        </w:tblPrEx>
        <w:trPr>
          <w:trHeight w:val="454" w:hRule="exact"/>
        </w:trPr>
        <w:tc>
          <w:tcPr>
            <w:tcW w:w="1300" w:type="dxa"/>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光明新区</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0.77</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36.49</w:t>
            </w:r>
          </w:p>
        </w:tc>
        <w:tc>
          <w:tcPr>
            <w:tcW w:w="2420" w:type="dxa"/>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102.41</w:t>
            </w:r>
          </w:p>
        </w:tc>
      </w:tr>
      <w:tr>
        <w:tblPrEx>
          <w:tblLayout w:type="fixed"/>
          <w:tblCellMar>
            <w:top w:w="0" w:type="dxa"/>
            <w:left w:w="108" w:type="dxa"/>
            <w:bottom w:w="0" w:type="dxa"/>
            <w:right w:w="108" w:type="dxa"/>
          </w:tblCellMar>
        </w:tblPrEx>
        <w:trPr>
          <w:trHeight w:val="454" w:hRule="exact"/>
        </w:trPr>
        <w:tc>
          <w:tcPr>
            <w:tcW w:w="130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int="eastAsia" w:hAnsi="宋体" w:cs="宋体"/>
                <w:color w:val="000000"/>
                <w:kern w:val="0"/>
                <w:sz w:val="22"/>
                <w:szCs w:val="22"/>
              </w:rPr>
              <w:t>大鹏新区</w:t>
            </w:r>
          </w:p>
        </w:tc>
        <w:tc>
          <w:tcPr>
            <w:tcW w:w="242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1.92</w:t>
            </w:r>
          </w:p>
        </w:tc>
        <w:tc>
          <w:tcPr>
            <w:tcW w:w="242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50.7</w:t>
            </w:r>
          </w:p>
        </w:tc>
        <w:tc>
          <w:tcPr>
            <w:tcW w:w="2420" w:type="dxa"/>
            <w:tcBorders>
              <w:top w:val="nil"/>
              <w:left w:val="nil"/>
              <w:bottom w:val="single" w:color="auto" w:sz="4" w:space="0"/>
              <w:right w:val="nil"/>
            </w:tcBorders>
            <w:vAlign w:val="center"/>
          </w:tcPr>
          <w:p>
            <w:pPr>
              <w:widowControl/>
              <w:spacing w:line="240" w:lineRule="auto"/>
              <w:ind w:firstLine="0" w:firstLineChars="0"/>
              <w:jc w:val="center"/>
              <w:rPr>
                <w:rFonts w:hAnsi="宋体" w:cs="宋体"/>
                <w:color w:val="000000"/>
                <w:kern w:val="0"/>
                <w:sz w:val="22"/>
                <w:szCs w:val="22"/>
              </w:rPr>
            </w:pPr>
            <w:r>
              <w:rPr>
                <w:rFonts w:hAnsi="宋体" w:cs="宋体"/>
                <w:color w:val="000000"/>
                <w:kern w:val="0"/>
                <w:sz w:val="22"/>
                <w:szCs w:val="22"/>
              </w:rPr>
              <w:t>112.5</w:t>
            </w:r>
          </w:p>
        </w:tc>
      </w:tr>
    </w:tbl>
    <w:p>
      <w:pPr>
        <w:ind w:firstLine="640"/>
        <w:rPr>
          <w:szCs w:val="32"/>
        </w:rPr>
      </w:pPr>
    </w:p>
    <w:p>
      <w:pPr>
        <w:ind w:firstLine="640"/>
        <w:rPr>
          <w:szCs w:val="32"/>
        </w:rPr>
      </w:pPr>
      <w:r>
        <w:rPr>
          <w:szCs w:val="32"/>
        </w:rPr>
        <w:t>2016</w:t>
      </w:r>
      <w:r>
        <w:rPr>
          <w:rFonts w:hint="eastAsia"/>
          <w:szCs w:val="32"/>
        </w:rPr>
        <w:t>年，深圳中等职业教育在校学生人数为</w:t>
      </w:r>
      <w:r>
        <w:rPr>
          <w:szCs w:val="32"/>
        </w:rPr>
        <w:t>74567</w:t>
      </w:r>
      <w:r>
        <w:rPr>
          <w:rFonts w:hint="eastAsia"/>
          <w:szCs w:val="32"/>
        </w:rPr>
        <w:t>人，性别比为</w:t>
      </w:r>
      <w:r>
        <w:rPr>
          <w:szCs w:val="32"/>
        </w:rPr>
        <w:t>150.39</w:t>
      </w:r>
      <w:r>
        <w:rPr>
          <w:rFonts w:hint="eastAsia"/>
          <w:szCs w:val="32"/>
        </w:rPr>
        <w:t>。</w:t>
      </w:r>
    </w:p>
    <w:p>
      <w:pPr>
        <w:ind w:firstLine="640"/>
        <w:rPr>
          <w:szCs w:val="32"/>
        </w:rPr>
      </w:pPr>
      <w:r>
        <w:rPr>
          <w:szCs w:val="32"/>
        </w:rPr>
        <w:t>2016</w:t>
      </w:r>
      <w:r>
        <w:rPr>
          <w:rFonts w:hint="eastAsia"/>
          <w:szCs w:val="32"/>
        </w:rPr>
        <w:t>年，深圳高等职业教育在校学生人数为</w:t>
      </w:r>
      <w:r>
        <w:rPr>
          <w:szCs w:val="32"/>
        </w:rPr>
        <w:t>42125</w:t>
      </w:r>
      <w:r>
        <w:rPr>
          <w:rFonts w:hint="eastAsia"/>
          <w:szCs w:val="32"/>
        </w:rPr>
        <w:t>人，性别比为</w:t>
      </w:r>
      <w:r>
        <w:rPr>
          <w:szCs w:val="32"/>
        </w:rPr>
        <w:t>117.44</w:t>
      </w:r>
      <w:r>
        <w:rPr>
          <w:rFonts w:hint="eastAsia"/>
          <w:szCs w:val="32"/>
        </w:rPr>
        <w:t>。</w:t>
      </w: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4</w:t>
      </w:r>
      <w:r>
        <w:rPr>
          <w:rFonts w:hint="eastAsia" w:ascii="Times New Roman" w:eastAsia="黑体"/>
          <w:bCs/>
          <w:kern w:val="44"/>
          <w:sz w:val="36"/>
          <w:szCs w:val="36"/>
        </w:rPr>
        <w:t>就业与收入</w:t>
      </w:r>
    </w:p>
    <w:p>
      <w:pPr>
        <w:ind w:firstLine="640"/>
        <w:rPr>
          <w:szCs w:val="32"/>
        </w:rPr>
      </w:pPr>
      <w:r>
        <w:rPr>
          <w:szCs w:val="32"/>
        </w:rPr>
        <w:t>2016</w:t>
      </w:r>
      <w:r>
        <w:rPr>
          <w:rFonts w:hint="eastAsia"/>
          <w:szCs w:val="32"/>
        </w:rPr>
        <w:t>年，深圳市城镇非私营单位从业人员</w:t>
      </w:r>
      <w:r>
        <w:rPr>
          <w:szCs w:val="32"/>
        </w:rPr>
        <w:t>456.23</w:t>
      </w:r>
      <w:r>
        <w:rPr>
          <w:rFonts w:hint="eastAsia"/>
          <w:szCs w:val="32"/>
        </w:rPr>
        <w:t>万人，其中女性从业人员</w:t>
      </w:r>
      <w:r>
        <w:rPr>
          <w:szCs w:val="32"/>
        </w:rPr>
        <w:t>176.53</w:t>
      </w:r>
      <w:r>
        <w:rPr>
          <w:rFonts w:hint="eastAsia"/>
          <w:szCs w:val="32"/>
        </w:rPr>
        <w:t>万人，城镇非私营单位从业人员性别比为</w:t>
      </w:r>
      <w:r>
        <w:rPr>
          <w:szCs w:val="32"/>
        </w:rPr>
        <w:t>158.45</w:t>
      </w:r>
      <w:r>
        <w:rPr>
          <w:rFonts w:hint="eastAsia"/>
          <w:szCs w:val="32"/>
        </w:rPr>
        <w:t>。</w:t>
      </w:r>
    </w:p>
    <w:p>
      <w:pPr>
        <w:ind w:firstLine="640"/>
        <w:rPr>
          <w:szCs w:val="32"/>
        </w:rPr>
      </w:pPr>
      <w:r>
        <w:rPr>
          <w:rFonts w:hint="eastAsia"/>
          <w:szCs w:val="32"/>
        </w:rPr>
        <w:t>截至</w:t>
      </w:r>
      <w:r>
        <w:rPr>
          <w:szCs w:val="32"/>
        </w:rPr>
        <w:t>2016</w:t>
      </w:r>
      <w:r>
        <w:rPr>
          <w:rFonts w:hint="eastAsia"/>
          <w:szCs w:val="32"/>
        </w:rPr>
        <w:t>年末，深圳市城镇登记失业率为</w:t>
      </w:r>
      <w:r>
        <w:rPr>
          <w:szCs w:val="32"/>
        </w:rPr>
        <w:t>2.33</w:t>
      </w:r>
      <w:r>
        <w:rPr>
          <w:rFonts w:hint="eastAsia"/>
          <w:szCs w:val="32"/>
        </w:rPr>
        <w:t>，其中男性失业率与女性失业率相同，均为</w:t>
      </w:r>
      <w:r>
        <w:rPr>
          <w:szCs w:val="32"/>
        </w:rPr>
        <w:t>2.33</w:t>
      </w:r>
      <w:r>
        <w:rPr>
          <w:rFonts w:hint="eastAsia"/>
          <w:szCs w:val="32"/>
        </w:rPr>
        <w:t>。截至</w:t>
      </w:r>
      <w:r>
        <w:rPr>
          <w:szCs w:val="32"/>
        </w:rPr>
        <w:t>2016</w:t>
      </w:r>
      <w:r>
        <w:rPr>
          <w:rFonts w:hint="eastAsia"/>
          <w:szCs w:val="32"/>
        </w:rPr>
        <w:t>年末，深圳市登记失业人口为</w:t>
      </w:r>
      <w:r>
        <w:rPr>
          <w:szCs w:val="32"/>
        </w:rPr>
        <w:t>103609</w:t>
      </w:r>
      <w:r>
        <w:rPr>
          <w:rFonts w:hint="eastAsia"/>
          <w:szCs w:val="32"/>
        </w:rPr>
        <w:t>，性别比为</w:t>
      </w:r>
      <w:r>
        <w:rPr>
          <w:szCs w:val="32"/>
        </w:rPr>
        <w:t>94.53</w:t>
      </w:r>
      <w:r>
        <w:rPr>
          <w:rFonts w:hint="eastAsia"/>
          <w:szCs w:val="32"/>
        </w:rPr>
        <w:t>。</w:t>
      </w:r>
    </w:p>
    <w:p>
      <w:pPr>
        <w:ind w:firstLine="640"/>
        <w:rPr>
          <w:szCs w:val="32"/>
        </w:rPr>
      </w:pPr>
      <w:r>
        <w:rPr>
          <w:rFonts w:hint="eastAsia"/>
          <w:szCs w:val="32"/>
        </w:rPr>
        <w:t>截至</w:t>
      </w:r>
      <w:r>
        <w:rPr>
          <w:szCs w:val="32"/>
        </w:rPr>
        <w:t>2016</w:t>
      </w:r>
      <w:r>
        <w:rPr>
          <w:rFonts w:hint="eastAsia"/>
          <w:szCs w:val="32"/>
        </w:rPr>
        <w:t>年末，深圳市规模以上工业企业共有</w:t>
      </w:r>
      <w:r>
        <w:rPr>
          <w:szCs w:val="32"/>
        </w:rPr>
        <w:t>R&amp;D</w:t>
      </w:r>
      <w:r>
        <w:rPr>
          <w:rFonts w:hint="eastAsia"/>
          <w:szCs w:val="32"/>
        </w:rPr>
        <w:t>人员</w:t>
      </w:r>
      <w:r>
        <w:rPr>
          <w:szCs w:val="32"/>
        </w:rPr>
        <w:t>202684</w:t>
      </w:r>
      <w:r>
        <w:rPr>
          <w:rFonts w:hint="eastAsia"/>
          <w:szCs w:val="32"/>
        </w:rPr>
        <w:t>人，</w:t>
      </w:r>
      <w:r>
        <w:rPr>
          <w:szCs w:val="32"/>
        </w:rPr>
        <w:t>R&amp;D</w:t>
      </w:r>
      <w:r>
        <w:rPr>
          <w:rFonts w:hint="eastAsia"/>
          <w:szCs w:val="32"/>
        </w:rPr>
        <w:t>从业人员性别比为</w:t>
      </w:r>
      <w:r>
        <w:rPr>
          <w:szCs w:val="32"/>
        </w:rPr>
        <w:t>463.72</w:t>
      </w:r>
      <w:r>
        <w:rPr>
          <w:rFonts w:hint="eastAsia"/>
          <w:szCs w:val="32"/>
        </w:rPr>
        <w:t>。</w:t>
      </w: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5</w:t>
      </w:r>
      <w:r>
        <w:rPr>
          <w:rFonts w:hint="eastAsia" w:ascii="Times New Roman" w:eastAsia="黑体"/>
          <w:bCs/>
          <w:kern w:val="44"/>
          <w:sz w:val="36"/>
          <w:szCs w:val="36"/>
        </w:rPr>
        <w:t>社会保障</w:t>
      </w:r>
    </w:p>
    <w:p>
      <w:pPr>
        <w:ind w:firstLine="640"/>
        <w:rPr>
          <w:szCs w:val="32"/>
        </w:rPr>
      </w:pPr>
      <w:r>
        <w:rPr>
          <w:szCs w:val="32"/>
        </w:rPr>
        <w:t>2016</w:t>
      </w:r>
      <w:r>
        <w:rPr>
          <w:rFonts w:hint="eastAsia"/>
          <w:szCs w:val="32"/>
        </w:rPr>
        <w:t>年，深圳市生育保险参保的性别比为</w:t>
      </w:r>
      <w:r>
        <w:rPr>
          <w:szCs w:val="32"/>
        </w:rPr>
        <w:t>135.68</w:t>
      </w:r>
      <w:r>
        <w:rPr>
          <w:rFonts w:hint="eastAsia"/>
          <w:szCs w:val="32"/>
        </w:rPr>
        <w:t>，基本医疗保险参保的性别比为</w:t>
      </w:r>
      <w:r>
        <w:rPr>
          <w:szCs w:val="32"/>
        </w:rPr>
        <w:t>130.37</w:t>
      </w:r>
      <w:r>
        <w:rPr>
          <w:rFonts w:hint="eastAsia"/>
          <w:szCs w:val="32"/>
        </w:rPr>
        <w:t>，基本养老保险参保的性别比为</w:t>
      </w:r>
      <w:r>
        <w:rPr>
          <w:szCs w:val="32"/>
        </w:rPr>
        <w:t>129.73</w:t>
      </w:r>
      <w:r>
        <w:rPr>
          <w:rFonts w:hint="eastAsia"/>
          <w:szCs w:val="32"/>
        </w:rPr>
        <w:t>，工伤保险参保的性别比为</w:t>
      </w:r>
      <w:r>
        <w:rPr>
          <w:szCs w:val="32"/>
        </w:rPr>
        <w:t>138.92</w:t>
      </w:r>
      <w:r>
        <w:rPr>
          <w:rFonts w:hint="eastAsia"/>
          <w:szCs w:val="32"/>
        </w:rPr>
        <w:t>，失业保险参保的性别比为</w:t>
      </w:r>
      <w:r>
        <w:rPr>
          <w:szCs w:val="32"/>
        </w:rPr>
        <w:t>139.47</w:t>
      </w:r>
      <w:r>
        <w:rPr>
          <w:rFonts w:hint="eastAsia"/>
          <w:szCs w:val="32"/>
        </w:rPr>
        <w:t>，住房公积金缴存的性别比为</w:t>
      </w:r>
      <w:r>
        <w:rPr>
          <w:szCs w:val="32"/>
        </w:rPr>
        <w:t>146.27</w:t>
      </w:r>
      <w:r>
        <w:rPr>
          <w:rFonts w:hint="eastAsia"/>
          <w:szCs w:val="32"/>
        </w:rPr>
        <w:t>。</w:t>
      </w:r>
    </w:p>
    <w:p>
      <w:pPr>
        <w:ind w:firstLine="640"/>
        <w:rPr>
          <w:szCs w:val="32"/>
        </w:rPr>
      </w:pPr>
      <w:r>
        <w:rPr>
          <w:szCs w:val="32"/>
        </w:rPr>
        <w:t>2016</w:t>
      </w:r>
      <w:r>
        <w:rPr>
          <w:rFonts w:hint="eastAsia"/>
          <w:szCs w:val="32"/>
        </w:rPr>
        <w:t>年，深圳市救助站流浪乞讨受助人员性别比为</w:t>
      </w:r>
      <w:r>
        <w:rPr>
          <w:szCs w:val="32"/>
        </w:rPr>
        <w:t>714.85</w:t>
      </w:r>
      <w:r>
        <w:rPr>
          <w:rFonts w:hint="eastAsia"/>
          <w:szCs w:val="32"/>
        </w:rPr>
        <w:t>，流浪乞讨儿童性别比为</w:t>
      </w:r>
      <w:r>
        <w:rPr>
          <w:szCs w:val="32"/>
        </w:rPr>
        <w:t>167.01</w:t>
      </w:r>
      <w:r>
        <w:rPr>
          <w:rFonts w:hint="eastAsia"/>
          <w:szCs w:val="32"/>
        </w:rPr>
        <w:t>，我市福利机构集中供养的儿童性别比为</w:t>
      </w:r>
      <w:r>
        <w:rPr>
          <w:szCs w:val="32"/>
        </w:rPr>
        <w:t>145.17</w:t>
      </w:r>
      <w:r>
        <w:rPr>
          <w:rFonts w:hint="eastAsia"/>
          <w:szCs w:val="32"/>
        </w:rPr>
        <w:t>。</w:t>
      </w:r>
    </w:p>
    <w:p>
      <w:pPr>
        <w:ind w:firstLine="640"/>
        <w:rPr>
          <w:szCs w:val="32"/>
        </w:rPr>
      </w:pPr>
      <w:r>
        <w:rPr>
          <w:szCs w:val="32"/>
        </w:rPr>
        <w:t>2016</w:t>
      </w:r>
      <w:r>
        <w:rPr>
          <w:rFonts w:hint="eastAsia"/>
          <w:szCs w:val="32"/>
        </w:rPr>
        <w:t>年，深圳市领取最低生活保障金的男性人数为</w:t>
      </w:r>
      <w:r>
        <w:rPr>
          <w:szCs w:val="32"/>
        </w:rPr>
        <w:t>3400</w:t>
      </w:r>
      <w:r>
        <w:rPr>
          <w:rFonts w:hint="eastAsia"/>
          <w:szCs w:val="32"/>
        </w:rPr>
        <w:t>人，领取最低生活保障金的女性人数为</w:t>
      </w:r>
      <w:r>
        <w:rPr>
          <w:szCs w:val="32"/>
        </w:rPr>
        <w:t>2500</w:t>
      </w:r>
      <w:r>
        <w:rPr>
          <w:rFonts w:hint="eastAsia"/>
          <w:szCs w:val="32"/>
        </w:rPr>
        <w:t>人，领取最低生活保障金的人员性别比为</w:t>
      </w:r>
      <w:r>
        <w:rPr>
          <w:szCs w:val="32"/>
        </w:rPr>
        <w:t>132.82</w:t>
      </w:r>
      <w:r>
        <w:rPr>
          <w:rFonts w:hint="eastAsia"/>
          <w:szCs w:val="32"/>
        </w:rPr>
        <w:t>。</w:t>
      </w:r>
    </w:p>
    <w:p>
      <w:pPr>
        <w:ind w:firstLine="640"/>
        <w:rPr>
          <w:szCs w:val="32"/>
        </w:rPr>
      </w:pPr>
      <w:r>
        <w:rPr>
          <w:rFonts w:hint="eastAsia"/>
          <w:szCs w:val="32"/>
        </w:rPr>
        <w:t>截止</w:t>
      </w:r>
      <w:r>
        <w:rPr>
          <w:szCs w:val="32"/>
        </w:rPr>
        <w:t>2016</w:t>
      </w:r>
      <w:r>
        <w:rPr>
          <w:rFonts w:hint="eastAsia"/>
          <w:szCs w:val="32"/>
        </w:rPr>
        <w:t>年底，深圳市共有</w:t>
      </w:r>
      <w:r>
        <w:rPr>
          <w:szCs w:val="32"/>
        </w:rPr>
        <w:t>3193</w:t>
      </w:r>
      <w:r>
        <w:rPr>
          <w:rFonts w:hint="eastAsia"/>
          <w:szCs w:val="32"/>
        </w:rPr>
        <w:t>人入住养老院，其中女性约占</w:t>
      </w:r>
      <w:r>
        <w:rPr>
          <w:szCs w:val="32"/>
        </w:rPr>
        <w:t>61.10%</w:t>
      </w:r>
      <w:r>
        <w:rPr>
          <w:rFonts w:hint="eastAsia"/>
          <w:szCs w:val="32"/>
        </w:rPr>
        <w:t>；有</w:t>
      </w:r>
      <w:r>
        <w:rPr>
          <w:szCs w:val="32"/>
        </w:rPr>
        <w:t>28.07</w:t>
      </w:r>
      <w:r>
        <w:rPr>
          <w:rFonts w:hint="eastAsia"/>
          <w:szCs w:val="32"/>
        </w:rPr>
        <w:t>万人领取了养老金，其中女性占</w:t>
      </w:r>
      <w:r>
        <w:rPr>
          <w:szCs w:val="32"/>
        </w:rPr>
        <w:t>69.32%</w:t>
      </w:r>
      <w:r>
        <w:rPr>
          <w:rFonts w:hint="eastAsia"/>
          <w:szCs w:val="32"/>
        </w:rPr>
        <w:t>；领取老年人补贴</w:t>
      </w:r>
      <w:r>
        <w:rPr>
          <w:szCs w:val="32"/>
        </w:rPr>
        <w:t>20.16</w:t>
      </w:r>
      <w:r>
        <w:rPr>
          <w:rFonts w:hint="eastAsia"/>
          <w:szCs w:val="32"/>
        </w:rPr>
        <w:t>万人，其中女性占</w:t>
      </w:r>
      <w:r>
        <w:rPr>
          <w:szCs w:val="32"/>
        </w:rPr>
        <w:t>54.56%</w:t>
      </w:r>
      <w:r>
        <w:rPr>
          <w:rFonts w:hint="eastAsia"/>
          <w:szCs w:val="32"/>
        </w:rPr>
        <w:t>。</w:t>
      </w:r>
    </w:p>
    <w:p>
      <w:pPr>
        <w:ind w:firstLine="640"/>
        <w:rPr>
          <w:szCs w:val="32"/>
        </w:rPr>
      </w:pPr>
      <w:r>
        <w:rPr>
          <w:rFonts w:hint="eastAsia"/>
          <w:szCs w:val="32"/>
        </w:rPr>
        <w:t>截止</w:t>
      </w:r>
      <w:r>
        <w:rPr>
          <w:szCs w:val="32"/>
        </w:rPr>
        <w:t>2016</w:t>
      </w:r>
      <w:r>
        <w:rPr>
          <w:rFonts w:hint="eastAsia"/>
          <w:szCs w:val="32"/>
        </w:rPr>
        <w:t>年底，深圳市残疾康复机构服务对象总人数为</w:t>
      </w:r>
      <w:r>
        <w:rPr>
          <w:szCs w:val="32"/>
        </w:rPr>
        <w:t>4554</w:t>
      </w:r>
      <w:r>
        <w:rPr>
          <w:rFonts w:hint="eastAsia"/>
          <w:szCs w:val="32"/>
        </w:rPr>
        <w:t>人，其中女性</w:t>
      </w:r>
      <w:r>
        <w:rPr>
          <w:szCs w:val="32"/>
        </w:rPr>
        <w:t>1629</w:t>
      </w:r>
      <w:r>
        <w:rPr>
          <w:rFonts w:hint="eastAsia"/>
          <w:szCs w:val="32"/>
        </w:rPr>
        <w:t>人，性别比为</w:t>
      </w:r>
      <w:r>
        <w:rPr>
          <w:szCs w:val="32"/>
        </w:rPr>
        <w:t>179.56</w:t>
      </w:r>
      <w:r>
        <w:rPr>
          <w:rFonts w:hint="eastAsia"/>
          <w:szCs w:val="32"/>
        </w:rPr>
        <w:t>。</w:t>
      </w: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6</w:t>
      </w:r>
      <w:r>
        <w:rPr>
          <w:rFonts w:hint="eastAsia" w:ascii="Times New Roman" w:eastAsia="黑体"/>
          <w:bCs/>
          <w:kern w:val="44"/>
          <w:sz w:val="36"/>
          <w:szCs w:val="36"/>
        </w:rPr>
        <w:t>卫生与健康</w:t>
      </w:r>
    </w:p>
    <w:p>
      <w:pPr>
        <w:ind w:firstLine="640"/>
        <w:rPr>
          <w:szCs w:val="32"/>
        </w:rPr>
      </w:pPr>
      <w:r>
        <w:rPr>
          <w:rFonts w:hint="eastAsia"/>
          <w:szCs w:val="32"/>
        </w:rPr>
        <w:t>截至2016年末，深圳市妇女健康档案建档率达95.0%，妇女档案使用率达84.0%；妇女体质监测达标率为91.70%，妇女常见病定期筛查率为84.59%。</w:t>
      </w:r>
    </w:p>
    <w:p>
      <w:pPr>
        <w:ind w:firstLine="640"/>
        <w:rPr>
          <w:szCs w:val="32"/>
        </w:rPr>
      </w:pPr>
      <w:r>
        <w:rPr>
          <w:rFonts w:hint="eastAsia"/>
          <w:szCs w:val="32"/>
        </w:rPr>
        <w:t>2016年，深圳市孕产妇住院分娩率达到99.84%，孕妇产前检查率达到97.8%，新法接生率达99.91%。</w:t>
      </w:r>
    </w:p>
    <w:p>
      <w:pPr>
        <w:ind w:firstLine="640"/>
        <w:rPr>
          <w:szCs w:val="32"/>
        </w:rPr>
      </w:pPr>
      <w:r>
        <w:rPr>
          <w:rFonts w:hint="eastAsia"/>
          <w:szCs w:val="32"/>
        </w:rPr>
        <w:t>2016年，深圳市婴儿死亡率为1.91‰。</w:t>
      </w:r>
    </w:p>
    <w:p>
      <w:pPr>
        <w:ind w:firstLine="640"/>
        <w:rPr>
          <w:szCs w:val="32"/>
        </w:rPr>
      </w:pPr>
      <w:r>
        <w:rPr>
          <w:rFonts w:hint="eastAsia"/>
          <w:szCs w:val="32"/>
        </w:rPr>
        <w:t>2016年，深圳市五岁以下男童的死亡率为2.67‰，五岁以下女童的死亡率为2.34‰。</w:t>
      </w:r>
    </w:p>
    <w:p>
      <w:pPr>
        <w:ind w:firstLine="640"/>
        <w:rPr>
          <w:szCs w:val="32"/>
        </w:rPr>
      </w:pPr>
      <w:r>
        <w:rPr>
          <w:rFonts w:hint="eastAsia"/>
          <w:szCs w:val="32"/>
        </w:rPr>
        <w:t>2016年，深圳市《国家学生体质健康标准》达标率为92.67%，中小学生超重/肥胖率为8.09%，中小学生视力不良率为59.65%，中小学生龋齿发生率30.1%，中小学生营养不良发生率</w:t>
      </w:r>
      <w:r>
        <w:rPr>
          <w:szCs w:val="32"/>
        </w:rPr>
        <w:t xml:space="preserve"> </w:t>
      </w:r>
      <w:r>
        <w:rPr>
          <w:rFonts w:hint="eastAsia"/>
          <w:szCs w:val="32"/>
        </w:rPr>
        <w:t>9.42%。</w:t>
      </w: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7</w:t>
      </w:r>
      <w:r>
        <w:rPr>
          <w:rFonts w:hint="eastAsia" w:ascii="Times New Roman" w:eastAsia="黑体"/>
          <w:bCs/>
          <w:kern w:val="44"/>
          <w:sz w:val="36"/>
          <w:szCs w:val="36"/>
        </w:rPr>
        <w:t>参政议政</w:t>
      </w:r>
    </w:p>
    <w:p>
      <w:pPr>
        <w:ind w:firstLine="640"/>
        <w:rPr>
          <w:szCs w:val="32"/>
        </w:rPr>
      </w:pPr>
      <w:r>
        <w:rPr>
          <w:rFonts w:hint="eastAsia"/>
          <w:szCs w:val="32"/>
        </w:rPr>
        <w:t>2016年，深圳市共有中国共产党党员515062人，其中女性党员187373人，占比36.38%。2016年市党代会代表中女性占比为25.86%；市人大代表中女性占比为28.37</w:t>
      </w:r>
      <w:r>
        <w:rPr>
          <w:szCs w:val="32"/>
        </w:rPr>
        <w:t xml:space="preserve"> </w:t>
      </w:r>
      <w:r>
        <w:rPr>
          <w:rFonts w:hint="eastAsia"/>
          <w:szCs w:val="32"/>
        </w:rPr>
        <w:t>%；市政协委员中女性比重为21.46</w:t>
      </w:r>
      <w:r>
        <w:rPr>
          <w:szCs w:val="32"/>
        </w:rPr>
        <w:t xml:space="preserve"> </w:t>
      </w:r>
      <w:r>
        <w:rPr>
          <w:rFonts w:hint="eastAsia"/>
          <w:szCs w:val="32"/>
        </w:rPr>
        <w:t>%。</w:t>
      </w:r>
    </w:p>
    <w:p>
      <w:pPr>
        <w:ind w:firstLine="640"/>
        <w:rPr>
          <w:szCs w:val="32"/>
        </w:rPr>
      </w:pPr>
      <w:r>
        <w:rPr>
          <w:rFonts w:hint="eastAsia"/>
          <w:szCs w:val="32"/>
        </w:rPr>
        <w:t>2016年，深圳市公务员队伍人数为45907人，公务员中女性的占比为23.64%。2016年新增公务员1326人，其中女性占比为33.71%。</w:t>
      </w: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8</w:t>
      </w:r>
      <w:r>
        <w:rPr>
          <w:rFonts w:hint="eastAsia" w:ascii="Times New Roman" w:eastAsia="黑体"/>
          <w:bCs/>
          <w:kern w:val="44"/>
          <w:sz w:val="36"/>
          <w:szCs w:val="36"/>
        </w:rPr>
        <w:t>参与公共事务</w:t>
      </w:r>
    </w:p>
    <w:p>
      <w:pPr>
        <w:ind w:firstLine="640"/>
        <w:rPr>
          <w:szCs w:val="32"/>
        </w:rPr>
      </w:pPr>
      <w:r>
        <w:rPr>
          <w:rFonts w:hint="eastAsia"/>
          <w:szCs w:val="32"/>
        </w:rPr>
        <w:t>2016年，深圳市已建工会企业职工代表大会中女性代表比例为43.47</w:t>
      </w:r>
      <w:r>
        <w:rPr>
          <w:szCs w:val="32"/>
        </w:rPr>
        <w:t xml:space="preserve"> </w:t>
      </w:r>
      <w:r>
        <w:rPr>
          <w:rFonts w:hint="eastAsia"/>
          <w:szCs w:val="32"/>
        </w:rPr>
        <w:t>%。已建工会企业董事中女性董事的比重为17.71</w:t>
      </w:r>
      <w:r>
        <w:rPr>
          <w:szCs w:val="32"/>
        </w:rPr>
        <w:t xml:space="preserve"> </w:t>
      </w:r>
      <w:r>
        <w:rPr>
          <w:rFonts w:hint="eastAsia"/>
          <w:szCs w:val="32"/>
        </w:rPr>
        <w:t>%，企业监事中女性监事的比重为25.20</w:t>
      </w:r>
      <w:r>
        <w:rPr>
          <w:szCs w:val="32"/>
        </w:rPr>
        <w:t xml:space="preserve"> </w:t>
      </w:r>
      <w:r>
        <w:rPr>
          <w:rFonts w:hint="eastAsia"/>
          <w:szCs w:val="32"/>
        </w:rPr>
        <w:t>%。</w:t>
      </w:r>
    </w:p>
    <w:p>
      <w:pPr>
        <w:ind w:firstLine="640"/>
        <w:rPr>
          <w:szCs w:val="32"/>
        </w:rPr>
      </w:pPr>
      <w:r>
        <w:rPr>
          <w:rFonts w:hint="eastAsia"/>
          <w:szCs w:val="32"/>
        </w:rPr>
        <w:t>2016年，深圳市事业单位总人数为98159人，性别比为77.02，全市事业单位职员中女性占比为56.49%，事业单位主要负责人人数为1628人，其中女性占比为20.21%。</w:t>
      </w:r>
    </w:p>
    <w:p>
      <w:pPr>
        <w:ind w:firstLine="640"/>
        <w:rPr>
          <w:szCs w:val="32"/>
        </w:rPr>
      </w:pPr>
      <w:r>
        <w:rPr>
          <w:rFonts w:hint="eastAsia"/>
          <w:szCs w:val="32"/>
        </w:rPr>
        <w:t>2016年，深圳市居民委员会成员共5027人，其中女性占比为38.35%。</w:t>
      </w:r>
    </w:p>
    <w:p>
      <w:pPr>
        <w:ind w:firstLine="640"/>
        <w:rPr>
          <w:szCs w:val="32"/>
        </w:rPr>
      </w:pPr>
      <w:r>
        <w:rPr>
          <w:rFonts w:hint="eastAsia"/>
          <w:szCs w:val="32"/>
        </w:rPr>
        <w:t>2016年，深圳市业主委员成员共7800人，其中女性占比为31.15%。</w:t>
      </w:r>
    </w:p>
    <w:p>
      <w:pPr>
        <w:keepNext/>
        <w:keepLines/>
        <w:spacing w:before="240" w:after="240" w:line="576" w:lineRule="auto"/>
        <w:ind w:firstLine="0" w:firstLineChars="0"/>
        <w:jc w:val="center"/>
        <w:outlineLvl w:val="0"/>
        <w:rPr>
          <w:rFonts w:ascii="Times New Roman" w:eastAsia="黑体"/>
          <w:bCs/>
          <w:kern w:val="44"/>
          <w:sz w:val="36"/>
          <w:szCs w:val="36"/>
        </w:rPr>
      </w:pPr>
      <w:r>
        <w:rPr>
          <w:rFonts w:ascii="Times New Roman" w:eastAsia="黑体"/>
          <w:bCs/>
          <w:kern w:val="44"/>
          <w:sz w:val="36"/>
          <w:szCs w:val="36"/>
        </w:rPr>
        <w:t>9</w:t>
      </w:r>
      <w:r>
        <w:rPr>
          <w:rFonts w:hint="eastAsia" w:ascii="Times New Roman" w:eastAsia="黑体"/>
          <w:bCs/>
          <w:kern w:val="44"/>
          <w:sz w:val="36"/>
          <w:szCs w:val="36"/>
        </w:rPr>
        <w:t>法律保护</w:t>
      </w:r>
    </w:p>
    <w:p>
      <w:pPr>
        <w:ind w:firstLine="640"/>
        <w:rPr>
          <w:szCs w:val="32"/>
        </w:rPr>
      </w:pPr>
      <w:r>
        <w:rPr>
          <w:rFonts w:hint="eastAsia"/>
          <w:szCs w:val="32"/>
        </w:rPr>
        <w:t>2016年，深圳市律师中女性占比为33.76</w:t>
      </w:r>
      <w:r>
        <w:rPr>
          <w:szCs w:val="32"/>
        </w:rPr>
        <w:t xml:space="preserve"> </w:t>
      </w:r>
      <w:r>
        <w:rPr>
          <w:rFonts w:hint="eastAsia"/>
          <w:szCs w:val="32"/>
        </w:rPr>
        <w:t>%，公证员中女性占比为44.95</w:t>
      </w:r>
      <w:r>
        <w:rPr>
          <w:szCs w:val="32"/>
        </w:rPr>
        <w:t xml:space="preserve"> </w:t>
      </w:r>
      <w:r>
        <w:rPr>
          <w:rFonts w:hint="eastAsia"/>
          <w:szCs w:val="32"/>
        </w:rPr>
        <w:t>%，人民陪审员中女性占比为56.01%，人民调解员中女性占比为36.94%，司法鉴定人员中女性占比为23.46%。</w:t>
      </w:r>
    </w:p>
    <w:p>
      <w:pPr>
        <w:ind w:firstLine="640"/>
      </w:pPr>
      <w:r>
        <w:rPr>
          <w:rFonts w:hint="eastAsia"/>
          <w:szCs w:val="32"/>
        </w:rPr>
        <w:t>2016年，</w:t>
      </w:r>
      <w:r>
        <w:rPr>
          <w:szCs w:val="32"/>
        </w:rPr>
        <w:t xml:space="preserve"> </w:t>
      </w:r>
      <w:r>
        <w:rPr>
          <w:rFonts w:hint="eastAsia"/>
          <w:szCs w:val="32"/>
        </w:rPr>
        <w:t>深圳市婚姻家庭纠纷调解案件数为96起。</w:t>
      </w:r>
    </w:p>
    <w:p>
      <w:pPr>
        <w:ind w:firstLine="640"/>
      </w:pPr>
    </w:p>
    <w:p>
      <w:pPr>
        <w:spacing w:before="100" w:beforeAutospacing="1" w:after="100" w:afterAutospacing="1" w:line="579" w:lineRule="exact"/>
        <w:ind w:firstLine="162" w:firstLineChars="45"/>
        <w:rPr>
          <w:rFonts w:hint="eastAsia" w:ascii="黑体" w:hAnsi="黑体" w:eastAsia="黑体"/>
          <w:sz w:val="36"/>
          <w:szCs w:val="36"/>
        </w:rPr>
      </w:pPr>
    </w:p>
    <w:p>
      <w:pPr>
        <w:spacing w:before="100" w:beforeAutospacing="1" w:after="100" w:afterAutospacing="1" w:line="579" w:lineRule="exact"/>
        <w:ind w:firstLine="162" w:firstLineChars="45"/>
        <w:rPr>
          <w:rFonts w:ascii="黑体" w:hAnsi="黑体" w:eastAsia="黑体"/>
          <w:sz w:val="36"/>
          <w:szCs w:val="36"/>
        </w:rPr>
      </w:pPr>
      <w:r>
        <w:rPr>
          <w:rFonts w:hint="eastAsia" w:ascii="黑体" w:hAnsi="黑体" w:eastAsia="黑体"/>
          <w:sz w:val="36"/>
          <w:szCs w:val="36"/>
        </w:rPr>
        <w:t>说明：</w:t>
      </w:r>
    </w:p>
    <w:p>
      <w:pPr>
        <w:spacing w:before="100" w:beforeAutospacing="1" w:after="100" w:afterAutospacing="1" w:line="579" w:lineRule="exact"/>
        <w:ind w:firstLine="640"/>
        <w:rPr>
          <w:szCs w:val="32"/>
        </w:rPr>
      </w:pPr>
      <w:r>
        <w:rPr>
          <w:rFonts w:hint="eastAsia" w:ascii="Times New Roman"/>
          <w:szCs w:val="32"/>
        </w:rPr>
        <w:t>为更加客观、全面反映我市男女性别发展状况，《2016年深圳市社会性别统计年度报告》在《2015年深圳市社会性别统计报告》基础之上进一步完善和丰富了性别统计指标体系，同时开展了专门调查，多部门、多渠道搜集获取性别数据。在多次核查数据并反复征求相关单位、部门意见后，《2016年深圳市社会性别统计年度报告》于2018年正式向社会发布</w:t>
      </w:r>
      <w:r>
        <w:rPr>
          <w:rFonts w:hint="eastAsia"/>
          <w:szCs w:val="32"/>
        </w:rPr>
        <w:t>。</w:t>
      </w:r>
    </w:p>
    <w:p>
      <w:pPr>
        <w:spacing w:before="100" w:beforeAutospacing="1" w:after="100" w:afterAutospacing="1" w:line="579" w:lineRule="exact"/>
        <w:ind w:firstLine="162" w:firstLineChars="45"/>
        <w:rPr>
          <w:rFonts w:ascii="黑体" w:hAnsi="黑体" w:eastAsia="黑体"/>
          <w:sz w:val="36"/>
          <w:szCs w:val="36"/>
        </w:rPr>
      </w:pPr>
      <w:r>
        <w:rPr>
          <w:rFonts w:hint="eastAsia" w:ascii="黑体" w:hAnsi="黑体" w:eastAsia="黑体"/>
          <w:sz w:val="36"/>
          <w:szCs w:val="36"/>
        </w:rPr>
        <w:t>注解：</w:t>
      </w:r>
    </w:p>
    <w:p>
      <w:pPr>
        <w:pStyle w:val="2"/>
        <w:spacing w:line="560" w:lineRule="exact"/>
        <w:ind w:firstLine="640" w:firstLineChars="200"/>
        <w:rPr>
          <w:rFonts w:ascii="仿宋_GB2312" w:hAnsi="Times New Roman" w:eastAsia="仿宋_GB2312"/>
          <w:kern w:val="2"/>
          <w:sz w:val="32"/>
          <w:szCs w:val="32"/>
          <w:lang w:val="en-US"/>
        </w:rPr>
      </w:pPr>
      <w:r>
        <w:rPr>
          <w:rFonts w:hint="eastAsia" w:ascii="仿宋_GB2312" w:hAnsi="Times New Roman" w:eastAsia="仿宋_GB2312"/>
          <w:kern w:val="2"/>
          <w:sz w:val="32"/>
          <w:szCs w:val="32"/>
          <w:lang w:val="en-US"/>
        </w:rPr>
        <w:t>1、人口性别比：指报告期末在所有人口中，男性人数与女性人数之比，通常用每100个女性人口相应有多少男性人口表示。数据来源：市统计局。</w:t>
      </w:r>
    </w:p>
    <w:p>
      <w:pPr>
        <w:spacing w:before="100" w:beforeAutospacing="1" w:after="100" w:afterAutospacing="1" w:line="579" w:lineRule="exact"/>
        <w:ind w:firstLine="640"/>
        <w:rPr>
          <w:szCs w:val="32"/>
        </w:rPr>
      </w:pPr>
      <w:r>
        <w:rPr>
          <w:rFonts w:hint="eastAsia"/>
          <w:szCs w:val="32"/>
        </w:rPr>
        <w:t>2、常住人口年龄中位数：指</w:t>
      </w:r>
      <w:r>
        <w:rPr>
          <w:rFonts w:hint="eastAsia" w:ascii="Times New Roman"/>
          <w:szCs w:val="32"/>
        </w:rPr>
        <w:t>报告期末，</w:t>
      </w:r>
      <w:r>
        <w:rPr>
          <w:rFonts w:ascii="Times New Roman"/>
          <w:szCs w:val="32"/>
        </w:rPr>
        <w:t>将全体</w:t>
      </w:r>
      <w:r>
        <w:rPr>
          <w:rFonts w:hint="eastAsia" w:ascii="Times New Roman"/>
          <w:szCs w:val="32"/>
        </w:rPr>
        <w:t>常住</w:t>
      </w:r>
      <w:r>
        <w:fldChar w:fldCharType="begin"/>
      </w:r>
      <w:r>
        <w:instrText xml:space="preserve"> HYPERLINK "http://baike.baidu.com/view/191056.htm" \t "_blank" </w:instrText>
      </w:r>
      <w:r>
        <w:fldChar w:fldCharType="separate"/>
      </w:r>
      <w:r>
        <w:rPr>
          <w:rFonts w:ascii="Times New Roman"/>
          <w:szCs w:val="32"/>
        </w:rPr>
        <w:t>人口</w:t>
      </w:r>
      <w:r>
        <w:rPr>
          <w:rFonts w:ascii="Times New Roman"/>
          <w:szCs w:val="32"/>
        </w:rPr>
        <w:fldChar w:fldCharType="end"/>
      </w:r>
      <w:r>
        <w:rPr>
          <w:rFonts w:ascii="Times New Roman"/>
          <w:szCs w:val="32"/>
        </w:rPr>
        <w:t>按</w:t>
      </w:r>
      <w:r>
        <w:fldChar w:fldCharType="begin"/>
      </w:r>
      <w:r>
        <w:instrText xml:space="preserve"> HYPERLINK "http://baike.baidu.com/view/418639.htm" \t "_blank" </w:instrText>
      </w:r>
      <w:r>
        <w:fldChar w:fldCharType="separate"/>
      </w:r>
      <w:r>
        <w:rPr>
          <w:rFonts w:ascii="Times New Roman"/>
          <w:szCs w:val="32"/>
        </w:rPr>
        <w:t>年龄</w:t>
      </w:r>
      <w:r>
        <w:rPr>
          <w:rFonts w:ascii="Times New Roman"/>
          <w:szCs w:val="32"/>
        </w:rPr>
        <w:fldChar w:fldCharType="end"/>
      </w:r>
      <w:r>
        <w:rPr>
          <w:rFonts w:ascii="Times New Roman"/>
          <w:szCs w:val="32"/>
        </w:rPr>
        <w:t>大小的自然顺序排列时</w:t>
      </w:r>
      <w:r>
        <w:rPr>
          <w:rFonts w:hint="eastAsia" w:ascii="Times New Roman"/>
          <w:szCs w:val="32"/>
        </w:rPr>
        <w:t>，</w:t>
      </w:r>
      <w:r>
        <w:rPr>
          <w:rFonts w:ascii="Times New Roman"/>
          <w:szCs w:val="32"/>
        </w:rPr>
        <w:t>居于中间位置的年龄数值。</w:t>
      </w:r>
      <w:r>
        <w:rPr>
          <w:rFonts w:hint="eastAsia" w:ascii="Times New Roman"/>
          <w:szCs w:val="32"/>
        </w:rPr>
        <w:t>数据来源：市统计局。</w:t>
      </w:r>
    </w:p>
    <w:p>
      <w:pPr>
        <w:spacing w:before="100" w:beforeAutospacing="1" w:after="100" w:afterAutospacing="1" w:line="579" w:lineRule="exact"/>
        <w:ind w:firstLine="640"/>
        <w:rPr>
          <w:rFonts w:ascii="Times New Roman"/>
          <w:szCs w:val="32"/>
        </w:rPr>
      </w:pPr>
      <w:r>
        <w:rPr>
          <w:szCs w:val="32"/>
        </w:rPr>
        <w:t>3</w:t>
      </w:r>
      <w:r>
        <w:rPr>
          <w:rFonts w:hint="eastAsia"/>
          <w:szCs w:val="32"/>
        </w:rPr>
        <w:t>、小学</w:t>
      </w:r>
      <w:r>
        <w:rPr>
          <w:rFonts w:ascii="Times New Roman"/>
          <w:szCs w:val="32"/>
        </w:rPr>
        <w:t>学龄儿童净入学率</w:t>
      </w:r>
      <w:r>
        <w:rPr>
          <w:rFonts w:hint="eastAsia" w:ascii="Times New Roman"/>
          <w:szCs w:val="32"/>
        </w:rPr>
        <w:t>：指报告期末，小学学龄人口中正在接受小学教育人数所占比重。数据来源：市教育局。</w:t>
      </w:r>
    </w:p>
    <w:p>
      <w:pPr>
        <w:spacing w:before="100" w:beforeAutospacing="1" w:after="100" w:afterAutospacing="1" w:line="579" w:lineRule="exact"/>
        <w:ind w:firstLine="640"/>
        <w:rPr>
          <w:szCs w:val="32"/>
        </w:rPr>
      </w:pPr>
      <w:r>
        <w:rPr>
          <w:szCs w:val="32"/>
        </w:rPr>
        <w:t>4</w:t>
      </w:r>
      <w:r>
        <w:rPr>
          <w:rFonts w:hint="eastAsia"/>
          <w:szCs w:val="32"/>
        </w:rPr>
        <w:t>、R&amp;D人员：指单位内部从事基础研究、应用研究和试验发展三类活动的人员。包括直接参加上述三类项目活动的人员以及这三类项目的管理人员和直接服务人员。数据来源：市统计局。</w:t>
      </w:r>
    </w:p>
    <w:p>
      <w:pPr>
        <w:spacing w:before="100" w:beforeAutospacing="1" w:after="100" w:afterAutospacing="1" w:line="579" w:lineRule="exact"/>
        <w:ind w:firstLine="640"/>
        <w:rPr>
          <w:rFonts w:hint="eastAsia"/>
          <w:szCs w:val="32"/>
        </w:rPr>
      </w:pPr>
      <w:r>
        <w:rPr>
          <w:szCs w:val="32"/>
        </w:rPr>
        <w:t>5</w:t>
      </w:r>
      <w:r>
        <w:rPr>
          <w:rFonts w:hint="eastAsia"/>
          <w:szCs w:val="32"/>
        </w:rPr>
        <w:t>、城镇登记失业率：指在报告期末城镇登记失业人数占城镇从业人员总数与实有城镇登记失业人数之和的比重。数据来源：市人力资源保障局</w:t>
      </w:r>
    </w:p>
    <w:p>
      <w:pPr>
        <w:spacing w:before="100" w:beforeAutospacing="1" w:after="100" w:afterAutospacing="1" w:line="579" w:lineRule="exact"/>
        <w:ind w:firstLine="640"/>
        <w:rPr>
          <w:rFonts w:hint="eastAsia" w:ascii="Times New Roman"/>
          <w:szCs w:val="32"/>
        </w:rPr>
      </w:pPr>
      <w:r>
        <w:rPr>
          <w:rFonts w:hint="eastAsia"/>
          <w:szCs w:val="32"/>
        </w:rPr>
        <w:t>6、</w:t>
      </w:r>
      <w:r>
        <w:rPr>
          <w:rFonts w:ascii="Times New Roman"/>
          <w:szCs w:val="32"/>
        </w:rPr>
        <w:t>福利机构集中供养的儿童性别比</w:t>
      </w:r>
      <w:r>
        <w:rPr>
          <w:rFonts w:hint="eastAsia" w:ascii="Times New Roman"/>
          <w:szCs w:val="32"/>
        </w:rPr>
        <w:t>：指报告期内辖区内的福利中心等福利机构供养过的儿童中，供养的男性儿童数与供养的女性儿童数之比。数据来源：市民政局。</w:t>
      </w:r>
    </w:p>
    <w:p>
      <w:pPr>
        <w:spacing w:before="100" w:beforeAutospacing="1" w:after="100" w:afterAutospacing="1" w:line="579" w:lineRule="exact"/>
        <w:ind w:firstLine="640"/>
        <w:rPr>
          <w:rFonts w:hint="eastAsia"/>
          <w:szCs w:val="32"/>
        </w:rPr>
      </w:pPr>
      <w:r>
        <w:rPr>
          <w:rFonts w:hint="eastAsia"/>
          <w:szCs w:val="32"/>
        </w:rPr>
        <w:t>7、</w:t>
      </w:r>
      <w:r>
        <w:rPr>
          <w:rFonts w:ascii="Times New Roman"/>
          <w:szCs w:val="32"/>
        </w:rPr>
        <w:t>残疾人康复机构服务对象性别比</w:t>
      </w:r>
      <w:r>
        <w:rPr>
          <w:rFonts w:hint="eastAsia"/>
          <w:szCs w:val="32"/>
        </w:rPr>
        <w:t>：指</w:t>
      </w:r>
      <w:r>
        <w:rPr>
          <w:rFonts w:hint="eastAsia" w:ascii="Times New Roman"/>
          <w:szCs w:val="32"/>
        </w:rPr>
        <w:t>报告期内辖区内所有残疾人康复机构服务过的对象中，被服务的男性残疾人员数与被服务的女性残疾人员数之比。数据来源：市残联。</w:t>
      </w:r>
    </w:p>
    <w:p>
      <w:pPr>
        <w:spacing w:before="100" w:beforeAutospacing="1" w:after="100" w:afterAutospacing="1" w:line="579" w:lineRule="exact"/>
        <w:ind w:firstLine="640"/>
        <w:rPr>
          <w:rFonts w:hint="eastAsia"/>
          <w:szCs w:val="32"/>
        </w:rPr>
      </w:pPr>
      <w:r>
        <w:rPr>
          <w:rFonts w:hint="eastAsia"/>
          <w:szCs w:val="32"/>
        </w:rPr>
        <w:t>8、住院分娩率：指某地区年内在取得助产技术资质的机构分娩的活产数与活产数之比。数据来源：市卫生计生委。</w:t>
      </w:r>
    </w:p>
    <w:p>
      <w:pPr>
        <w:spacing w:before="100" w:beforeAutospacing="1" w:after="100" w:afterAutospacing="1" w:line="579" w:lineRule="exact"/>
        <w:ind w:firstLine="640"/>
        <w:rPr>
          <w:rFonts w:hint="eastAsia"/>
          <w:szCs w:val="32"/>
        </w:rPr>
      </w:pPr>
      <w:r>
        <w:rPr>
          <w:rFonts w:hint="eastAsia"/>
          <w:szCs w:val="32"/>
        </w:rPr>
        <w:t>9、产前检查率：指报告期内辖区产前接受过一次及以上产前检查的产妇人数占活产数的比重。数据来源：市卫生计生委。</w:t>
      </w:r>
    </w:p>
    <w:p>
      <w:pPr>
        <w:spacing w:before="100" w:beforeAutospacing="1" w:after="100" w:afterAutospacing="1" w:line="579" w:lineRule="exact"/>
        <w:ind w:firstLine="640"/>
        <w:rPr>
          <w:szCs w:val="32"/>
        </w:rPr>
      </w:pPr>
      <w:r>
        <w:rPr>
          <w:rFonts w:hint="eastAsia"/>
          <w:szCs w:val="32"/>
        </w:rPr>
        <w:t>10、</w:t>
      </w:r>
      <w:r>
        <w:rPr>
          <w:szCs w:val="32"/>
        </w:rPr>
        <w:t>新法接生率</w:t>
      </w:r>
      <w:r>
        <w:rPr>
          <w:rFonts w:hint="eastAsia"/>
          <w:szCs w:val="32"/>
        </w:rPr>
        <w:t>：指报告期内辖区新法接生活产数与活产数之比。数据来源：市卫生计生委。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11886"/>
    <w:rsid w:val="000C761A"/>
    <w:rsid w:val="00210DDD"/>
    <w:rsid w:val="003527D9"/>
    <w:rsid w:val="004C0939"/>
    <w:rsid w:val="00503DF6"/>
    <w:rsid w:val="005E6DC8"/>
    <w:rsid w:val="00A63B68"/>
    <w:rsid w:val="00AE1E1D"/>
    <w:rsid w:val="00C85172"/>
    <w:rsid w:val="00DD3380"/>
    <w:rsid w:val="01654E85"/>
    <w:rsid w:val="13ED7720"/>
    <w:rsid w:val="193E5886"/>
    <w:rsid w:val="1CF372E5"/>
    <w:rsid w:val="36011886"/>
    <w:rsid w:val="3E146FC0"/>
    <w:rsid w:val="67F42F77"/>
    <w:rsid w:val="6E77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spacing w:line="240" w:lineRule="auto"/>
      <w:ind w:firstLine="0" w:firstLineChars="0"/>
      <w:jc w:val="left"/>
    </w:pPr>
    <w:rPr>
      <w:rFonts w:ascii="Calibri" w:hAnsi="Calibri" w:eastAsia="宋体"/>
      <w:kern w:val="0"/>
      <w:sz w:val="18"/>
      <w:szCs w:val="18"/>
      <w:lang w:val="zh-CN"/>
    </w:rPr>
  </w:style>
  <w:style w:type="character" w:styleId="4">
    <w:name w:val="footnote reference"/>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857</Words>
  <Characters>4891</Characters>
  <Lines>40</Lines>
  <Paragraphs>11</Paragraphs>
  <TotalTime>60</TotalTime>
  <ScaleCrop>false</ScaleCrop>
  <LinksUpToDate>false</LinksUpToDate>
  <CharactersWithSpaces>5737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2018-03-19T02:33:00Z</dcterms:created>
  <dc:creator>system</dc:creator>
  <cp:lastModifiedBy>陈俊宏</cp:lastModifiedBy>
  <dcterms:modified xsi:type="dcterms:W3CDTF">2019-03-20T04:39:16Z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